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D8B7" w14:textId="77777777" w:rsidR="00F649C9" w:rsidRDefault="00F649C9" w:rsidP="008C0C39">
      <w:pPr>
        <w:spacing w:after="0" w:line="360" w:lineRule="auto"/>
        <w:jc w:val="center"/>
        <w:rPr>
          <w:sz w:val="24"/>
          <w:szCs w:val="24"/>
        </w:rPr>
      </w:pPr>
      <w:bookmarkStart w:id="0" w:name="_Toc501359804"/>
    </w:p>
    <w:p w14:paraId="05245827" w14:textId="0F71F8EC" w:rsidR="00663F21" w:rsidRPr="008C0C39" w:rsidRDefault="008C0C39" w:rsidP="008C0C39">
      <w:pPr>
        <w:spacing w:after="0" w:line="360" w:lineRule="auto"/>
        <w:jc w:val="center"/>
        <w:rPr>
          <w:sz w:val="24"/>
          <w:szCs w:val="24"/>
        </w:rPr>
      </w:pPr>
      <w:r>
        <w:rPr>
          <w:sz w:val="24"/>
          <w:szCs w:val="24"/>
        </w:rPr>
        <w:t>STANDARD OPERATING</w:t>
      </w:r>
      <w:r w:rsidR="382ABD72" w:rsidRPr="008C0C39">
        <w:rPr>
          <w:sz w:val="24"/>
          <w:szCs w:val="24"/>
        </w:rPr>
        <w:t xml:space="preserve"> </w:t>
      </w:r>
      <w:bookmarkEnd w:id="0"/>
      <w:r w:rsidRPr="008C0C39">
        <w:rPr>
          <w:sz w:val="24"/>
          <w:szCs w:val="24"/>
        </w:rPr>
        <w:t>P</w:t>
      </w:r>
      <w:r>
        <w:rPr>
          <w:sz w:val="24"/>
          <w:szCs w:val="24"/>
        </w:rPr>
        <w:t>ROC</w:t>
      </w:r>
      <w:r w:rsidR="00C6399F">
        <w:rPr>
          <w:sz w:val="24"/>
          <w:szCs w:val="24"/>
        </w:rPr>
        <w:t>E</w:t>
      </w:r>
      <w:r>
        <w:rPr>
          <w:sz w:val="24"/>
          <w:szCs w:val="24"/>
        </w:rPr>
        <w:t>DURE:</w:t>
      </w:r>
      <w:r w:rsidRPr="008C0C39">
        <w:rPr>
          <w:sz w:val="24"/>
          <w:szCs w:val="24"/>
        </w:rPr>
        <w:t xml:space="preserve"> F</w:t>
      </w:r>
      <w:r>
        <w:rPr>
          <w:sz w:val="24"/>
          <w:szCs w:val="24"/>
        </w:rPr>
        <w:t>LAMMABLE LIQUIDS</w:t>
      </w:r>
    </w:p>
    <w:tbl>
      <w:tblPr>
        <w:tblStyle w:val="TableGrid"/>
        <w:tblW w:w="5326" w:type="pct"/>
        <w:jc w:val="center"/>
        <w:tblLayout w:type="fixed"/>
        <w:tblLook w:val="0000" w:firstRow="0" w:lastRow="0" w:firstColumn="0" w:lastColumn="0" w:noHBand="0" w:noVBand="0"/>
      </w:tblPr>
      <w:tblGrid>
        <w:gridCol w:w="2524"/>
        <w:gridCol w:w="4485"/>
        <w:gridCol w:w="145"/>
        <w:gridCol w:w="4340"/>
      </w:tblGrid>
      <w:tr w:rsidR="00663F21" w:rsidRPr="00663F21" w14:paraId="16FEA274" w14:textId="77777777" w:rsidTr="00A405F3">
        <w:trPr>
          <w:trHeight w:val="811"/>
          <w:jc w:val="center"/>
        </w:trPr>
        <w:tc>
          <w:tcPr>
            <w:tcW w:w="5000" w:type="pct"/>
            <w:gridSpan w:val="4"/>
            <w:shd w:val="clear" w:color="auto" w:fill="EAF1DD"/>
            <w:vAlign w:val="center"/>
          </w:tcPr>
          <w:p w14:paraId="171A2296" w14:textId="77777777" w:rsidR="00663F21" w:rsidRPr="00663F21" w:rsidRDefault="00663F21" w:rsidP="00663F21">
            <w:pPr>
              <w:spacing w:line="360" w:lineRule="auto"/>
              <w:rPr>
                <w:b/>
                <w:bCs/>
              </w:rPr>
            </w:pPr>
            <w:r w:rsidRPr="00663F21">
              <w:rPr>
                <w:b/>
                <w:bCs/>
              </w:rPr>
              <w:t>CONTACT INFORMATION</w:t>
            </w:r>
          </w:p>
        </w:tc>
      </w:tr>
      <w:tr w:rsidR="00663F21" w:rsidRPr="00663F21" w14:paraId="456D2671" w14:textId="77777777" w:rsidTr="00A405F3">
        <w:trPr>
          <w:trHeight w:val="283"/>
          <w:jc w:val="center"/>
        </w:trPr>
        <w:tc>
          <w:tcPr>
            <w:tcW w:w="1098" w:type="pct"/>
          </w:tcPr>
          <w:p w14:paraId="1D2B207C" w14:textId="77777777" w:rsidR="00663F21" w:rsidRPr="00663F21" w:rsidRDefault="00663F21" w:rsidP="00663F21">
            <w:pPr>
              <w:spacing w:line="360" w:lineRule="auto"/>
              <w:rPr>
                <w:b/>
              </w:rPr>
            </w:pPr>
            <w:r w:rsidRPr="00663F21">
              <w:rPr>
                <w:b/>
              </w:rPr>
              <w:t>Location</w:t>
            </w:r>
          </w:p>
        </w:tc>
        <w:tc>
          <w:tcPr>
            <w:tcW w:w="2014" w:type="pct"/>
            <w:gridSpan w:val="2"/>
          </w:tcPr>
          <w:p w14:paraId="2B4D09CB" w14:textId="77777777" w:rsidR="00663F21" w:rsidRPr="00663F21" w:rsidRDefault="00663F21" w:rsidP="00663F21">
            <w:pPr>
              <w:spacing w:line="360" w:lineRule="auto"/>
              <w:rPr>
                <w:bCs/>
              </w:rPr>
            </w:pPr>
            <w:r w:rsidRPr="00663F21">
              <w:rPr>
                <w:bCs/>
              </w:rPr>
              <w:t>Building:</w:t>
            </w:r>
          </w:p>
        </w:tc>
        <w:tc>
          <w:tcPr>
            <w:tcW w:w="1888" w:type="pct"/>
          </w:tcPr>
          <w:p w14:paraId="18CE702C" w14:textId="77777777" w:rsidR="00663F21" w:rsidRPr="00663F21" w:rsidRDefault="00663F21" w:rsidP="00663F21">
            <w:pPr>
              <w:spacing w:line="360" w:lineRule="auto"/>
              <w:rPr>
                <w:bCs/>
              </w:rPr>
            </w:pPr>
            <w:r w:rsidRPr="00663F21">
              <w:rPr>
                <w:bCs/>
              </w:rPr>
              <w:t>Room:</w:t>
            </w:r>
          </w:p>
        </w:tc>
      </w:tr>
      <w:tr w:rsidR="00663F21" w:rsidRPr="00663F21" w14:paraId="5EF15645" w14:textId="77777777" w:rsidTr="00A405F3">
        <w:trPr>
          <w:trHeight w:val="283"/>
          <w:jc w:val="center"/>
        </w:trPr>
        <w:tc>
          <w:tcPr>
            <w:tcW w:w="1098" w:type="pct"/>
          </w:tcPr>
          <w:p w14:paraId="06F096E2" w14:textId="77777777" w:rsidR="00663F21" w:rsidRPr="00663F21" w:rsidRDefault="00663F21" w:rsidP="00663F21">
            <w:pPr>
              <w:spacing w:line="360" w:lineRule="auto"/>
              <w:rPr>
                <w:b/>
              </w:rPr>
            </w:pPr>
            <w:r w:rsidRPr="00663F21">
              <w:rPr>
                <w:b/>
              </w:rPr>
              <w:t>Street Address:</w:t>
            </w:r>
          </w:p>
        </w:tc>
        <w:tc>
          <w:tcPr>
            <w:tcW w:w="3902" w:type="pct"/>
            <w:gridSpan w:val="3"/>
          </w:tcPr>
          <w:p w14:paraId="672A6659" w14:textId="77777777" w:rsidR="00663F21" w:rsidRPr="00663F21" w:rsidRDefault="00663F21" w:rsidP="00663F21">
            <w:pPr>
              <w:spacing w:line="360" w:lineRule="auto"/>
              <w:rPr>
                <w:bCs/>
              </w:rPr>
            </w:pPr>
          </w:p>
        </w:tc>
      </w:tr>
      <w:tr w:rsidR="00663F21" w:rsidRPr="00663F21" w14:paraId="10F04BAD" w14:textId="77777777" w:rsidTr="00A405F3">
        <w:trPr>
          <w:trHeight w:val="283"/>
          <w:jc w:val="center"/>
        </w:trPr>
        <w:tc>
          <w:tcPr>
            <w:tcW w:w="1098" w:type="pct"/>
            <w:vMerge w:val="restart"/>
          </w:tcPr>
          <w:p w14:paraId="7545EE27" w14:textId="77777777" w:rsidR="00663F21" w:rsidRPr="00663F21" w:rsidRDefault="00663F21" w:rsidP="00663F21">
            <w:pPr>
              <w:spacing w:line="360" w:lineRule="auto"/>
              <w:rPr>
                <w:b/>
              </w:rPr>
            </w:pPr>
            <w:r w:rsidRPr="00663F21">
              <w:rPr>
                <w:b/>
              </w:rPr>
              <w:t>Lab Safety Contact:</w:t>
            </w:r>
          </w:p>
        </w:tc>
        <w:tc>
          <w:tcPr>
            <w:tcW w:w="3902" w:type="pct"/>
            <w:gridSpan w:val="3"/>
          </w:tcPr>
          <w:p w14:paraId="5ED90B35" w14:textId="77777777" w:rsidR="00663F21" w:rsidRPr="00663F21" w:rsidRDefault="00663F21" w:rsidP="00663F21">
            <w:pPr>
              <w:spacing w:line="360" w:lineRule="auto"/>
              <w:rPr>
                <w:bCs/>
              </w:rPr>
            </w:pPr>
            <w:r w:rsidRPr="00663F21">
              <w:rPr>
                <w:bCs/>
              </w:rPr>
              <w:t>Name:</w:t>
            </w:r>
          </w:p>
        </w:tc>
      </w:tr>
      <w:tr w:rsidR="00663F21" w:rsidRPr="00663F21" w14:paraId="03B79D3E" w14:textId="77777777" w:rsidTr="00A405F3">
        <w:trPr>
          <w:trHeight w:val="283"/>
          <w:jc w:val="center"/>
        </w:trPr>
        <w:tc>
          <w:tcPr>
            <w:tcW w:w="1098" w:type="pct"/>
            <w:vMerge/>
          </w:tcPr>
          <w:p w14:paraId="0A37501D" w14:textId="77777777" w:rsidR="00663F21" w:rsidRPr="00663F21" w:rsidRDefault="00663F21" w:rsidP="00663F21">
            <w:pPr>
              <w:spacing w:line="360" w:lineRule="auto"/>
              <w:rPr>
                <w:b/>
              </w:rPr>
            </w:pPr>
          </w:p>
        </w:tc>
        <w:tc>
          <w:tcPr>
            <w:tcW w:w="1951" w:type="pct"/>
          </w:tcPr>
          <w:p w14:paraId="1B1B5B63" w14:textId="77777777" w:rsidR="00663F21" w:rsidRPr="00663F21" w:rsidRDefault="00663F21" w:rsidP="00663F21">
            <w:pPr>
              <w:spacing w:line="360" w:lineRule="auto"/>
              <w:rPr>
                <w:bCs/>
              </w:rPr>
            </w:pPr>
            <w:r w:rsidRPr="00663F21">
              <w:rPr>
                <w:bCs/>
              </w:rPr>
              <w:t>Lab Phone:</w:t>
            </w:r>
          </w:p>
        </w:tc>
        <w:tc>
          <w:tcPr>
            <w:tcW w:w="1951" w:type="pct"/>
            <w:gridSpan w:val="2"/>
          </w:tcPr>
          <w:p w14:paraId="6B3A4522" w14:textId="77777777" w:rsidR="00663F21" w:rsidRPr="00663F21" w:rsidRDefault="00663F21" w:rsidP="00663F21">
            <w:pPr>
              <w:spacing w:line="360" w:lineRule="auto"/>
              <w:rPr>
                <w:bCs/>
              </w:rPr>
            </w:pPr>
            <w:r w:rsidRPr="00663F21">
              <w:rPr>
                <w:bCs/>
              </w:rPr>
              <w:t>Office Phone:</w:t>
            </w:r>
          </w:p>
        </w:tc>
      </w:tr>
      <w:tr w:rsidR="00663F21" w:rsidRPr="00663F21" w14:paraId="75F47833" w14:textId="77777777" w:rsidTr="00A405F3">
        <w:trPr>
          <w:trHeight w:val="283"/>
          <w:jc w:val="center"/>
        </w:trPr>
        <w:tc>
          <w:tcPr>
            <w:tcW w:w="1098" w:type="pct"/>
          </w:tcPr>
          <w:p w14:paraId="110B4B04" w14:textId="77777777" w:rsidR="00663F21" w:rsidRPr="00663F21" w:rsidRDefault="00663F21" w:rsidP="00663F21">
            <w:pPr>
              <w:spacing w:line="360" w:lineRule="auto"/>
              <w:rPr>
                <w:b/>
              </w:rPr>
            </w:pPr>
            <w:r w:rsidRPr="00663F21">
              <w:rPr>
                <w:b/>
              </w:rPr>
              <w:t>Emergency Contact</w:t>
            </w:r>
          </w:p>
        </w:tc>
        <w:tc>
          <w:tcPr>
            <w:tcW w:w="1951" w:type="pct"/>
          </w:tcPr>
          <w:p w14:paraId="0871540E" w14:textId="77777777" w:rsidR="00663F21" w:rsidRPr="00663F21" w:rsidRDefault="00663F21" w:rsidP="00663F21">
            <w:pPr>
              <w:spacing w:line="360" w:lineRule="auto"/>
              <w:rPr>
                <w:bCs/>
              </w:rPr>
            </w:pPr>
            <w:r w:rsidRPr="00663F21">
              <w:rPr>
                <w:bCs/>
              </w:rPr>
              <w:t>Name:</w:t>
            </w:r>
          </w:p>
        </w:tc>
        <w:tc>
          <w:tcPr>
            <w:tcW w:w="1951" w:type="pct"/>
            <w:gridSpan w:val="2"/>
          </w:tcPr>
          <w:p w14:paraId="74CED8B4" w14:textId="77777777" w:rsidR="00663F21" w:rsidRPr="00663F21" w:rsidRDefault="00663F21" w:rsidP="00663F21">
            <w:pPr>
              <w:spacing w:line="360" w:lineRule="auto"/>
              <w:rPr>
                <w:bCs/>
              </w:rPr>
            </w:pPr>
            <w:r w:rsidRPr="00663F21">
              <w:rPr>
                <w:bCs/>
              </w:rPr>
              <w:t>Phone:</w:t>
            </w:r>
          </w:p>
        </w:tc>
      </w:tr>
      <w:tr w:rsidR="00386CCE" w:rsidRPr="00663F21" w14:paraId="2A90AECB" w14:textId="77777777" w:rsidTr="00A405F3">
        <w:trPr>
          <w:trHeight w:val="283"/>
          <w:jc w:val="center"/>
        </w:trPr>
        <w:tc>
          <w:tcPr>
            <w:tcW w:w="5000" w:type="pct"/>
            <w:gridSpan w:val="4"/>
            <w:shd w:val="clear" w:color="auto" w:fill="E2EFD9" w:themeFill="accent6" w:themeFillTint="33"/>
          </w:tcPr>
          <w:p w14:paraId="2A58E11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27D3A4CF" w14:textId="77777777" w:rsidTr="00A405F3">
        <w:trPr>
          <w:trHeight w:val="283"/>
          <w:jc w:val="center"/>
        </w:trPr>
        <w:tc>
          <w:tcPr>
            <w:tcW w:w="5000" w:type="pct"/>
            <w:gridSpan w:val="4"/>
          </w:tcPr>
          <w:p w14:paraId="22887C56" w14:textId="2A1529E8" w:rsidR="00386CCE" w:rsidRPr="00663F21" w:rsidRDefault="2D3BBFAF" w:rsidP="2D3BBFAF">
            <w:pPr>
              <w:spacing w:line="360" w:lineRule="auto"/>
              <w:ind w:left="360"/>
            </w:pPr>
            <w:r>
              <w:t xml:space="preserve">             Indicate which type of Standard Operating Procedure applies</w:t>
            </w:r>
          </w:p>
          <w:p w14:paraId="487C1FC6" w14:textId="77777777" w:rsidR="00386CCE" w:rsidRPr="00663F21" w:rsidRDefault="002664A8" w:rsidP="06C0A648">
            <w:pPr>
              <w:spacing w:line="360" w:lineRule="auto"/>
              <w:ind w:left="360"/>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0621590C" w14:textId="77777777" w:rsidR="00386CCE" w:rsidRDefault="002664A8" w:rsidP="06C0A648">
            <w:pPr>
              <w:spacing w:line="360" w:lineRule="auto"/>
              <w:ind w:left="360"/>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4853C0B2" w14:textId="71C0F6B3" w:rsidR="00386CCE" w:rsidRPr="00386CCE" w:rsidRDefault="002664A8" w:rsidP="06C0A648">
            <w:pPr>
              <w:spacing w:line="360" w:lineRule="auto"/>
              <w:ind w:left="360"/>
              <w:jc w:val="both"/>
            </w:pPr>
            <w:sdt>
              <w:sdtPr>
                <w:id w:val="-259904786"/>
                <w14:checkbox>
                  <w14:checked w14:val="1"/>
                  <w14:checkedState w14:val="2612" w14:font="MS Gothic"/>
                  <w14:uncheckedState w14:val="2610" w14:font="MS Gothic"/>
                </w14:checkbox>
              </w:sdtPr>
              <w:sdtEndPr/>
              <w:sdtContent>
                <w:r w:rsidR="004021A6">
                  <w:rPr>
                    <w:rFonts w:ascii="MS Gothic" w:eastAsia="MS Gothic" w:hAnsi="MS Gothic" w:hint="eastAsia"/>
                  </w:rPr>
                  <w:t>☒</w:t>
                </w:r>
              </w:sdtContent>
            </w:sdt>
            <w:r w:rsidR="00386CCE" w:rsidRPr="00663F21">
              <w:t>Hazard Class for a Group of Chemicals</w:t>
            </w:r>
          </w:p>
        </w:tc>
      </w:tr>
      <w:tr w:rsidR="00386CCE" w:rsidRPr="00663F21" w14:paraId="45E7F874" w14:textId="77777777" w:rsidTr="00A405F3">
        <w:trPr>
          <w:trHeight w:val="283"/>
          <w:jc w:val="center"/>
        </w:trPr>
        <w:tc>
          <w:tcPr>
            <w:tcW w:w="5000" w:type="pct"/>
            <w:gridSpan w:val="4"/>
            <w:shd w:val="clear" w:color="auto" w:fill="E2EFD9" w:themeFill="accent6" w:themeFillTint="33"/>
          </w:tcPr>
          <w:p w14:paraId="18AF7A44"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1EDFDD1" w14:textId="77777777" w:rsidTr="00A405F3">
        <w:trPr>
          <w:trHeight w:val="283"/>
          <w:jc w:val="center"/>
        </w:trPr>
        <w:tc>
          <w:tcPr>
            <w:tcW w:w="5000" w:type="pct"/>
            <w:gridSpan w:val="4"/>
          </w:tcPr>
          <w:p w14:paraId="6FCCDEDD" w14:textId="6D6F7D31" w:rsidR="00C6399F" w:rsidRPr="00C6399F" w:rsidRDefault="00C6399F" w:rsidP="00C6399F">
            <w:pPr>
              <w:pStyle w:val="Heading3"/>
              <w:spacing w:before="0" w:line="360" w:lineRule="auto"/>
              <w:outlineLvl w:val="2"/>
              <w:rPr>
                <w:rFonts w:ascii="Calibri" w:eastAsia="Calibri" w:hAnsi="Calibri" w:cs="Times New Roman"/>
                <w:color w:val="auto"/>
                <w:sz w:val="22"/>
                <w:szCs w:val="22"/>
              </w:rPr>
            </w:pPr>
            <w:r w:rsidRPr="00C6399F">
              <w:rPr>
                <w:rFonts w:ascii="Calibri" w:eastAsia="Calibri" w:hAnsi="Calibri" w:cs="Times New Roman"/>
                <w:color w:val="auto"/>
                <w:sz w:val="22"/>
                <w:szCs w:val="22"/>
              </w:rPr>
              <w:t xml:space="preserve">These guidelines are intended to provide general guidance on how to work safely with Flammable liquids. </w:t>
            </w:r>
          </w:p>
          <w:p w14:paraId="218EC1CB"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Flammable liquid means having a flash point of not more than 93°C. Substances and mixtures of this hazard class are assigned to one of four hazard categories based on the flash point and boiling point. Flash Point is determined by closed cup methods.</w:t>
            </w:r>
          </w:p>
          <w:p w14:paraId="7CAD45CF"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 xml:space="preserve"> Category                                   Criteria</w:t>
            </w:r>
          </w:p>
          <w:p w14:paraId="1E5C17D4"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 xml:space="preserve">      1                  Flash point &lt; 23°C (73°F) and initial boiling point ≤ 35°C (95°F) examples: Diethyl Ether, Heptane</w:t>
            </w:r>
          </w:p>
          <w:p w14:paraId="4E0ADCC8"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 xml:space="preserve">      2                  Flash point &lt; 23 °C (73°F) and initial boiling point &gt; 35°C (95°F) examples: Acetone, Ethanol </w:t>
            </w:r>
          </w:p>
          <w:p w14:paraId="11C4CA69"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 xml:space="preserve">      3                  Flash point ≥ 23 °C (73°F) and ≤ 60 °C (140°F) examples: Xylene, Turpentine  </w:t>
            </w:r>
          </w:p>
          <w:p w14:paraId="4595EB3F" w14:textId="77777777" w:rsidR="00C6399F" w:rsidRPr="00C6399F" w:rsidRDefault="00C6399F" w:rsidP="00C6399F">
            <w:pPr>
              <w:keepNext/>
              <w:keepLines/>
              <w:spacing w:line="360" w:lineRule="auto"/>
              <w:outlineLvl w:val="2"/>
              <w:rPr>
                <w:rFonts w:ascii="Calibri" w:eastAsia="Calibri" w:hAnsi="Calibri" w:cs="Times New Roman"/>
              </w:rPr>
            </w:pPr>
            <w:r w:rsidRPr="00C6399F">
              <w:rPr>
                <w:rFonts w:ascii="Calibri" w:eastAsia="Calibri" w:hAnsi="Calibri" w:cs="Times New Roman"/>
              </w:rPr>
              <w:t xml:space="preserve">      4                  Flash point &gt; 60 °C (140°F) and ≤ 93 °C (200°F) examples: Diesel Fuel, Formaldehyde </w:t>
            </w:r>
          </w:p>
          <w:p w14:paraId="1054D5B5" w14:textId="236EA635" w:rsidR="00386CCE" w:rsidRPr="00663F21" w:rsidRDefault="00386CCE" w:rsidP="00B52B2E">
            <w:pPr>
              <w:spacing w:line="360" w:lineRule="auto"/>
              <w:ind w:right="901"/>
              <w:rPr>
                <w:b/>
                <w:bCs/>
              </w:rPr>
            </w:pPr>
          </w:p>
        </w:tc>
      </w:tr>
      <w:tr w:rsidR="08449BA1" w14:paraId="2CA5A6ED" w14:textId="77777777" w:rsidTr="00A405F3">
        <w:trPr>
          <w:trHeight w:val="283"/>
          <w:jc w:val="center"/>
        </w:trPr>
        <w:tc>
          <w:tcPr>
            <w:tcW w:w="5000" w:type="pct"/>
            <w:gridSpan w:val="4"/>
          </w:tcPr>
          <w:p w14:paraId="4E9143A5" w14:textId="5D4ABC7F" w:rsidR="08449BA1" w:rsidRDefault="08449BA1" w:rsidP="08449BA1">
            <w:pPr>
              <w:spacing w:line="360" w:lineRule="auto"/>
              <w:rPr>
                <w:u w:val="single"/>
              </w:rPr>
            </w:pPr>
          </w:p>
        </w:tc>
      </w:tr>
      <w:tr w:rsidR="00663F21" w:rsidRPr="00663F21" w14:paraId="27489C6C" w14:textId="77777777" w:rsidTr="00A405F3">
        <w:trPr>
          <w:trHeight w:val="360"/>
          <w:jc w:val="center"/>
        </w:trPr>
        <w:tc>
          <w:tcPr>
            <w:tcW w:w="5000" w:type="pct"/>
            <w:gridSpan w:val="4"/>
            <w:shd w:val="clear" w:color="auto" w:fill="EAF1DD"/>
            <w:vAlign w:val="center"/>
          </w:tcPr>
          <w:p w14:paraId="3F672337" w14:textId="77777777" w:rsidR="00663F21" w:rsidRPr="00663F21" w:rsidRDefault="00663F21" w:rsidP="00663F21">
            <w:pPr>
              <w:spacing w:line="360" w:lineRule="auto"/>
              <w:rPr>
                <w:b/>
                <w:bCs/>
              </w:rPr>
            </w:pPr>
            <w:r w:rsidRPr="00663F21">
              <w:rPr>
                <w:b/>
                <w:bCs/>
              </w:rPr>
              <w:t>HAZARD SUMMARY</w:t>
            </w:r>
          </w:p>
        </w:tc>
      </w:tr>
      <w:tr w:rsidR="00663F21" w:rsidRPr="00663F21" w14:paraId="76481672" w14:textId="77777777" w:rsidTr="00A405F3">
        <w:trPr>
          <w:trHeight w:val="1391"/>
          <w:jc w:val="center"/>
        </w:trPr>
        <w:tc>
          <w:tcPr>
            <w:tcW w:w="5000" w:type="pct"/>
            <w:gridSpan w:val="4"/>
          </w:tcPr>
          <w:p w14:paraId="3F9C33CA" w14:textId="35C7F248" w:rsidR="00A405F3" w:rsidRPr="00A405F3" w:rsidRDefault="00A405F3" w:rsidP="00B52CD2">
            <w:pPr>
              <w:spacing w:line="360" w:lineRule="auto"/>
              <w:rPr>
                <w:rFonts w:ascii="Calibri" w:eastAsia="Calibri" w:hAnsi="Calibri" w:cs="Times New Roman"/>
              </w:rPr>
            </w:pPr>
            <w:r w:rsidRPr="00A405F3">
              <w:rPr>
                <w:rFonts w:ascii="Calibri" w:eastAsia="Calibri" w:hAnsi="Calibri" w:cs="Times New Roman"/>
              </w:rPr>
              <w:t xml:space="preserve">Flammable liquids pose a risk of burns, fire, and explosions. Some flammable liquids may produce vapors that are heavier than air and may settle in low areas and flash back on contact with an ignition source. </w:t>
            </w:r>
          </w:p>
          <w:p w14:paraId="72A3D3EC" w14:textId="6FC87243" w:rsidR="00663F21" w:rsidRPr="00663F21" w:rsidRDefault="00663F21" w:rsidP="00B52CD2">
            <w:pPr>
              <w:spacing w:line="360" w:lineRule="auto"/>
            </w:pPr>
          </w:p>
        </w:tc>
      </w:tr>
      <w:tr w:rsidR="00663F21" w:rsidRPr="00663F21" w14:paraId="5BAE95FD" w14:textId="77777777" w:rsidTr="00A405F3">
        <w:trPr>
          <w:trHeight w:val="360"/>
          <w:jc w:val="center"/>
        </w:trPr>
        <w:tc>
          <w:tcPr>
            <w:tcW w:w="5000" w:type="pct"/>
            <w:gridSpan w:val="4"/>
            <w:shd w:val="clear" w:color="auto" w:fill="EAF1DD"/>
            <w:vAlign w:val="center"/>
          </w:tcPr>
          <w:p w14:paraId="15C5FD89" w14:textId="77777777" w:rsidR="00663F21" w:rsidRPr="00663F21" w:rsidRDefault="00663F21" w:rsidP="00663F21">
            <w:pPr>
              <w:spacing w:line="360" w:lineRule="auto"/>
              <w:rPr>
                <w:b/>
                <w:bCs/>
              </w:rPr>
            </w:pPr>
            <w:r w:rsidRPr="00663F21">
              <w:rPr>
                <w:b/>
                <w:bCs/>
              </w:rPr>
              <w:t>SPECIAL HANDLING AND STORAGE REQUIREMENTS</w:t>
            </w:r>
          </w:p>
        </w:tc>
      </w:tr>
      <w:tr w:rsidR="00663F21" w:rsidRPr="00663F21" w14:paraId="7EBC4733" w14:textId="77777777" w:rsidTr="00A405F3">
        <w:trPr>
          <w:trHeight w:val="1440"/>
          <w:jc w:val="center"/>
        </w:trPr>
        <w:tc>
          <w:tcPr>
            <w:tcW w:w="5000" w:type="pct"/>
            <w:gridSpan w:val="4"/>
          </w:tcPr>
          <w:p w14:paraId="00089CDD" w14:textId="77777777" w:rsidR="00C6399F" w:rsidRPr="00C6399F" w:rsidRDefault="00C6399F" w:rsidP="00C6399F">
            <w:pPr>
              <w:spacing w:line="360" w:lineRule="auto"/>
              <w:rPr>
                <w:rFonts w:ascii="Calibri" w:eastAsia="Calibri" w:hAnsi="Calibri" w:cs="Calibri"/>
                <w:b/>
                <w:u w:val="single"/>
              </w:rPr>
            </w:pPr>
            <w:r w:rsidRPr="00C6399F">
              <w:rPr>
                <w:rFonts w:ascii="Calibri" w:eastAsia="Calibri" w:hAnsi="Calibri" w:cs="Calibri"/>
                <w:b/>
                <w:u w:val="single"/>
              </w:rPr>
              <w:lastRenderedPageBreak/>
              <w:t>Precautions:</w:t>
            </w:r>
          </w:p>
          <w:p w14:paraId="65767598" w14:textId="77777777" w:rsidR="00C6399F" w:rsidRPr="00C6399F" w:rsidRDefault="00C6399F" w:rsidP="00C6399F">
            <w:pPr>
              <w:spacing w:line="360" w:lineRule="auto"/>
              <w:rPr>
                <w:rFonts w:ascii="Calibri" w:eastAsia="Calibri" w:hAnsi="Calibri" w:cs="Calibri"/>
              </w:rPr>
            </w:pPr>
            <w:r w:rsidRPr="00C6399F">
              <w:rPr>
                <w:rFonts w:ascii="Calibri" w:eastAsia="Calibri" w:hAnsi="Calibri" w:cs="Calibri"/>
              </w:rPr>
              <w:t xml:space="preserve">Ground and bond containers when transferring material. Use spark-proof tools and explosion proof equipment. Use only with </w:t>
            </w:r>
          </w:p>
          <w:p w14:paraId="0C8A389C" w14:textId="05188C47" w:rsidR="00102B6D" w:rsidRDefault="00C6399F" w:rsidP="00C6399F">
            <w:pPr>
              <w:spacing w:line="360" w:lineRule="auto"/>
              <w:rPr>
                <w:rFonts w:ascii="Calibri" w:eastAsia="Calibri" w:hAnsi="Calibri" w:cs="Calibri"/>
              </w:rPr>
            </w:pPr>
            <w:r w:rsidRPr="00C6399F">
              <w:rPr>
                <w:rFonts w:ascii="Calibri" w:eastAsia="Calibri" w:hAnsi="Calibri" w:cs="Calibri"/>
              </w:rPr>
              <w:t xml:space="preserve">adequate ventilation. Keep away from heat, sparks and flame. Avoid use in confined spaces.  </w:t>
            </w:r>
          </w:p>
          <w:p w14:paraId="19CA35AB" w14:textId="7D79AB99" w:rsidR="00C6399F" w:rsidRPr="00102B6D" w:rsidRDefault="00102B6D" w:rsidP="00102B6D">
            <w:pPr>
              <w:tabs>
                <w:tab w:val="left" w:pos="1610"/>
              </w:tabs>
              <w:rPr>
                <w:rFonts w:ascii="Calibri" w:eastAsia="Calibri" w:hAnsi="Calibri" w:cs="Calibri"/>
              </w:rPr>
            </w:pPr>
            <w:r>
              <w:rPr>
                <w:rFonts w:ascii="Calibri" w:eastAsia="Calibri" w:hAnsi="Calibri" w:cs="Calibri"/>
              </w:rPr>
              <w:tab/>
            </w:r>
          </w:p>
          <w:p w14:paraId="2DAA6CE6" w14:textId="77777777" w:rsidR="00C6399F" w:rsidRPr="00C6399F" w:rsidRDefault="00C6399F" w:rsidP="00C6399F">
            <w:pPr>
              <w:spacing w:line="360" w:lineRule="auto"/>
              <w:rPr>
                <w:rFonts w:ascii="Calibri" w:eastAsia="Calibri" w:hAnsi="Calibri" w:cs="Calibri"/>
                <w:b/>
                <w:u w:val="single"/>
              </w:rPr>
            </w:pPr>
            <w:r w:rsidRPr="00C6399F">
              <w:rPr>
                <w:rFonts w:ascii="Calibri" w:eastAsia="Calibri" w:hAnsi="Calibri" w:cs="Calibri"/>
                <w:b/>
                <w:u w:val="single"/>
              </w:rPr>
              <w:t>Storage:</w:t>
            </w:r>
          </w:p>
          <w:p w14:paraId="0D0B940D" w14:textId="429F26A8" w:rsidR="00D756B7" w:rsidRPr="005F3053" w:rsidRDefault="00C6399F" w:rsidP="00102B6D">
            <w:pPr>
              <w:spacing w:line="360" w:lineRule="auto"/>
              <w:rPr>
                <w:rFonts w:cstheme="minorHAnsi"/>
              </w:rPr>
            </w:pPr>
            <w:r w:rsidRPr="00C6399F">
              <w:rPr>
                <w:rFonts w:ascii="Calibri" w:eastAsia="Calibri" w:hAnsi="Calibri" w:cs="Calibri"/>
                <w:lang w:val="en"/>
              </w:rPr>
              <w:t>Keep container tightly closed in a cool, dry, and well-ventilated area or in a designated flammables storage cabinet.</w:t>
            </w:r>
            <w:r w:rsidRPr="00A469DB">
              <w:rPr>
                <w:rFonts w:ascii="Calibri" w:eastAsia="Calibri" w:hAnsi="Calibri" w:cs="Calibri"/>
                <w:b/>
                <w:bCs/>
                <w:lang w:val="en"/>
              </w:rPr>
              <w:t xml:space="preserve"> </w:t>
            </w:r>
            <w:r w:rsidRPr="006F5F45">
              <w:rPr>
                <w:rFonts w:ascii="Calibri" w:eastAsia="Calibri" w:hAnsi="Calibri" w:cs="Calibri"/>
                <w:b/>
                <w:bCs/>
                <w:u w:val="single"/>
                <w:lang w:val="en"/>
              </w:rPr>
              <w:t>If flammable liquids must be stored in a refrigerator or freezer it must be rated for flammable storage</w:t>
            </w:r>
            <w:r w:rsidRPr="006F5F45">
              <w:rPr>
                <w:rFonts w:ascii="Calibri" w:eastAsia="Calibri" w:hAnsi="Calibri" w:cs="Calibri"/>
                <w:u w:val="single"/>
                <w:lang w:val="en"/>
              </w:rPr>
              <w:t xml:space="preserve">. </w:t>
            </w:r>
            <w:r w:rsidRPr="00C6399F">
              <w:rPr>
                <w:rFonts w:ascii="Calibri" w:eastAsia="Calibri" w:hAnsi="Calibri" w:cs="Calibri"/>
                <w:lang w:val="en"/>
              </w:rPr>
              <w:t xml:space="preserve"> Opened containers must be carefully resealed and kept upright to prevent leakage. Protect from contact with heat, sparks, or flame. </w:t>
            </w:r>
            <w:r w:rsidRPr="006F5F45">
              <w:rPr>
                <w:rFonts w:ascii="Calibri" w:eastAsia="Calibri" w:hAnsi="Calibri" w:cs="Calibri"/>
                <w:b/>
                <w:bCs/>
                <w:u w:val="single"/>
                <w:lang w:val="en"/>
              </w:rPr>
              <w:t>Segregate flammable chemicals from incompatible materials (i.e. oxidizers).</w:t>
            </w:r>
            <w:r w:rsidRPr="006F5F45">
              <w:rPr>
                <w:rFonts w:ascii="Calibri" w:eastAsia="Calibri" w:hAnsi="Calibri" w:cs="Calibri"/>
                <w:u w:val="single"/>
                <w:lang w:val="en"/>
              </w:rPr>
              <w:t xml:space="preserve"> </w:t>
            </w:r>
            <w:r w:rsidR="00102B6D">
              <w:rPr>
                <w:rFonts w:ascii="Calibri" w:eastAsia="Calibri" w:hAnsi="Calibri" w:cs="Calibri"/>
                <w:b/>
                <w:bCs/>
                <w:u w:val="single"/>
                <w:lang w:val="en"/>
              </w:rPr>
              <w:t>Generally, n</w:t>
            </w:r>
            <w:r w:rsidRPr="006F5F45">
              <w:rPr>
                <w:rFonts w:ascii="Calibri" w:eastAsia="Calibri" w:hAnsi="Calibri" w:cs="Calibri"/>
                <w:b/>
                <w:bCs/>
                <w:u w:val="single"/>
                <w:lang w:val="en"/>
              </w:rPr>
              <w:t xml:space="preserve">o more than 10 gallons of flammable liquids should be stored outside of </w:t>
            </w:r>
            <w:r w:rsidR="00102B6D">
              <w:rPr>
                <w:rFonts w:ascii="Calibri" w:eastAsia="Calibri" w:hAnsi="Calibri" w:cs="Calibri"/>
                <w:b/>
                <w:bCs/>
                <w:u w:val="single"/>
                <w:lang w:val="en"/>
              </w:rPr>
              <w:t xml:space="preserve">a </w:t>
            </w:r>
            <w:r w:rsidRPr="006F5F45">
              <w:rPr>
                <w:rFonts w:ascii="Calibri" w:eastAsia="Calibri" w:hAnsi="Calibri" w:cs="Calibri"/>
                <w:b/>
                <w:bCs/>
                <w:u w:val="single"/>
                <w:lang w:val="en"/>
              </w:rPr>
              <w:t>flammable cabinet</w:t>
            </w:r>
            <w:r w:rsidR="00102B6D">
              <w:rPr>
                <w:rFonts w:ascii="Calibri" w:eastAsia="Calibri" w:hAnsi="Calibri" w:cs="Calibri"/>
                <w:b/>
                <w:bCs/>
                <w:u w:val="single"/>
                <w:lang w:val="en"/>
              </w:rPr>
              <w:t xml:space="preserve">.  This may be less depending on the floor where flammable liquids are </w:t>
            </w:r>
            <w:r w:rsidR="00CF4757">
              <w:rPr>
                <w:rFonts w:ascii="Calibri" w:eastAsia="Calibri" w:hAnsi="Calibri" w:cs="Calibri"/>
                <w:b/>
                <w:bCs/>
                <w:u w:val="single"/>
                <w:lang w:val="en"/>
              </w:rPr>
              <w:t xml:space="preserve">used and </w:t>
            </w:r>
            <w:r w:rsidR="00102B6D">
              <w:rPr>
                <w:rFonts w:ascii="Calibri" w:eastAsia="Calibri" w:hAnsi="Calibri" w:cs="Calibri"/>
                <w:b/>
                <w:bCs/>
                <w:u w:val="single"/>
                <w:lang w:val="en"/>
              </w:rPr>
              <w:t>stored</w:t>
            </w:r>
            <w:r w:rsidRPr="006F5F45">
              <w:rPr>
                <w:rFonts w:ascii="Calibri" w:eastAsia="Calibri" w:hAnsi="Calibri" w:cs="Calibri"/>
                <w:b/>
                <w:bCs/>
                <w:u w:val="single"/>
                <w:lang w:val="en"/>
              </w:rPr>
              <w:t>.</w:t>
            </w:r>
          </w:p>
        </w:tc>
      </w:tr>
      <w:tr w:rsidR="005247FB" w14:paraId="14CB4986" w14:textId="77777777" w:rsidTr="009C0B02">
        <w:tblPrEx>
          <w:jc w:val="left"/>
          <w:tblLook w:val="04A0" w:firstRow="1" w:lastRow="0" w:firstColumn="1" w:lastColumn="0" w:noHBand="0" w:noVBand="1"/>
        </w:tblPrEx>
        <w:trPr>
          <w:trHeight w:val="530"/>
        </w:trPr>
        <w:tc>
          <w:tcPr>
            <w:tcW w:w="5000" w:type="pct"/>
            <w:gridSpan w:val="4"/>
            <w:shd w:val="clear" w:color="auto" w:fill="E2EFD9" w:themeFill="accent6" w:themeFillTint="33"/>
          </w:tcPr>
          <w:p w14:paraId="52D60A4C" w14:textId="77777777" w:rsidR="005247FB" w:rsidRPr="00ED79CE" w:rsidRDefault="005247FB">
            <w:pPr>
              <w:spacing w:line="360" w:lineRule="auto"/>
              <w:rPr>
                <w:rFonts w:cstheme="minorHAnsi"/>
                <w:b/>
              </w:rPr>
            </w:pPr>
            <w:r w:rsidRPr="00ED79CE">
              <w:rPr>
                <w:rFonts w:cstheme="minorHAnsi"/>
                <w:b/>
              </w:rPr>
              <w:t>ENGINEERING AND VENTILATION CONTROLS</w:t>
            </w:r>
          </w:p>
          <w:p w14:paraId="7855F600" w14:textId="77777777" w:rsidR="005247FB" w:rsidRPr="00ED79CE" w:rsidRDefault="005247FB" w:rsidP="00B03960">
            <w:pPr>
              <w:rPr>
                <w:rFonts w:cstheme="minorHAnsi"/>
              </w:rPr>
            </w:pPr>
          </w:p>
        </w:tc>
      </w:tr>
      <w:tr w:rsidR="005247FB" w14:paraId="149AA48C" w14:textId="77777777" w:rsidTr="00ED79CE">
        <w:tblPrEx>
          <w:jc w:val="left"/>
          <w:tblLook w:val="04A0" w:firstRow="1" w:lastRow="0" w:firstColumn="1" w:lastColumn="0" w:noHBand="0" w:noVBand="1"/>
        </w:tblPrEx>
        <w:trPr>
          <w:trHeight w:val="1790"/>
        </w:trPr>
        <w:tc>
          <w:tcPr>
            <w:tcW w:w="5000" w:type="pct"/>
            <w:gridSpan w:val="4"/>
          </w:tcPr>
          <w:p w14:paraId="64EB2A62" w14:textId="31983123" w:rsidR="00C6399F" w:rsidRPr="00C6399F" w:rsidRDefault="00CF4757" w:rsidP="00C6399F">
            <w:pPr>
              <w:spacing w:line="360" w:lineRule="auto"/>
              <w:rPr>
                <w:rFonts w:ascii="Calibri" w:eastAsia="Calibri" w:hAnsi="Calibri" w:cs="Calibri"/>
              </w:rPr>
            </w:pPr>
            <w:r>
              <w:rPr>
                <w:rFonts w:ascii="Calibri" w:eastAsia="Calibri" w:hAnsi="Calibri" w:cs="Calibri"/>
              </w:rPr>
              <w:t>Use</w:t>
            </w:r>
            <w:r w:rsidR="00C6399F" w:rsidRPr="00C6399F">
              <w:rPr>
                <w:rFonts w:ascii="Calibri" w:eastAsia="Calibri" w:hAnsi="Calibri" w:cs="Calibri"/>
              </w:rPr>
              <w:t xml:space="preserve"> a chemical fume hood </w:t>
            </w:r>
            <w:r w:rsidR="00102B6D">
              <w:rPr>
                <w:rFonts w:ascii="Calibri" w:eastAsia="Calibri" w:hAnsi="Calibri" w:cs="Calibri"/>
              </w:rPr>
              <w:t>whenever</w:t>
            </w:r>
            <w:r w:rsidR="00C6399F" w:rsidRPr="00C6399F">
              <w:rPr>
                <w:rFonts w:ascii="Calibri" w:eastAsia="Calibri" w:hAnsi="Calibri" w:cs="Calibri"/>
              </w:rPr>
              <w:t xml:space="preserve"> possible. </w:t>
            </w:r>
            <w:r>
              <w:rPr>
                <w:rFonts w:ascii="Calibri" w:eastAsia="Calibri" w:hAnsi="Calibri" w:cs="Calibri"/>
              </w:rPr>
              <w:t xml:space="preserve">Use </w:t>
            </w:r>
            <w:r w:rsidRPr="00C6399F">
              <w:rPr>
                <w:rFonts w:ascii="Calibri" w:eastAsia="Calibri" w:hAnsi="Calibri" w:cs="Calibri"/>
              </w:rPr>
              <w:t>explosion-proof</w:t>
            </w:r>
            <w:r>
              <w:rPr>
                <w:rFonts w:ascii="Calibri" w:eastAsia="Calibri" w:hAnsi="Calibri" w:cs="Calibri"/>
              </w:rPr>
              <w:t>, g</w:t>
            </w:r>
            <w:r w:rsidR="00C6399F" w:rsidRPr="00C6399F">
              <w:rPr>
                <w:rFonts w:ascii="Calibri" w:eastAsia="Calibri" w:hAnsi="Calibri" w:cs="Calibri"/>
              </w:rPr>
              <w:t>eneral and</w:t>
            </w:r>
            <w:r>
              <w:rPr>
                <w:rFonts w:ascii="Calibri" w:eastAsia="Calibri" w:hAnsi="Calibri" w:cs="Calibri"/>
              </w:rPr>
              <w:t>/or</w:t>
            </w:r>
            <w:r w:rsidR="00C6399F" w:rsidRPr="00C6399F">
              <w:rPr>
                <w:rFonts w:ascii="Calibri" w:eastAsia="Calibri" w:hAnsi="Calibri" w:cs="Calibri"/>
              </w:rPr>
              <w:t xml:space="preserve"> local exhaust ventilation. </w:t>
            </w:r>
            <w:r>
              <w:rPr>
                <w:rFonts w:ascii="Calibri" w:eastAsia="Calibri" w:hAnsi="Calibri" w:cs="Calibri"/>
              </w:rPr>
              <w:t xml:space="preserve"> If hazardous atmospheres are anticipated u</w:t>
            </w:r>
            <w:r w:rsidR="00C6399F" w:rsidRPr="00C6399F">
              <w:rPr>
                <w:rFonts w:ascii="Calibri" w:eastAsia="Calibri" w:hAnsi="Calibri" w:cs="Calibri"/>
              </w:rPr>
              <w:t>se explosion-proof electrical</w:t>
            </w:r>
            <w:r>
              <w:rPr>
                <w:rFonts w:ascii="Calibri" w:eastAsia="Calibri" w:hAnsi="Calibri" w:cs="Calibri"/>
              </w:rPr>
              <w:t xml:space="preserve"> wiring</w:t>
            </w:r>
            <w:r w:rsidR="00F17358">
              <w:rPr>
                <w:rFonts w:ascii="Calibri" w:eastAsia="Calibri" w:hAnsi="Calibri" w:cs="Calibri"/>
              </w:rPr>
              <w:t>, equipment,</w:t>
            </w:r>
            <w:r>
              <w:rPr>
                <w:rFonts w:ascii="Calibri" w:eastAsia="Calibri" w:hAnsi="Calibri" w:cs="Calibri"/>
              </w:rPr>
              <w:t xml:space="preserve"> and fixtures, as well </w:t>
            </w:r>
            <w:r w:rsidR="00F17358">
              <w:rPr>
                <w:rFonts w:ascii="Calibri" w:eastAsia="Calibri" w:hAnsi="Calibri" w:cs="Calibri"/>
              </w:rPr>
              <w:t xml:space="preserve">as </w:t>
            </w:r>
            <w:r w:rsidR="00F17358" w:rsidRPr="00C6399F">
              <w:rPr>
                <w:rFonts w:ascii="Calibri" w:eastAsia="Calibri" w:hAnsi="Calibri" w:cs="Calibri"/>
              </w:rPr>
              <w:t>non</w:t>
            </w:r>
            <w:r w:rsidR="00C6399F" w:rsidRPr="00C6399F">
              <w:rPr>
                <w:rFonts w:ascii="Calibri" w:eastAsia="Calibri" w:hAnsi="Calibri" w:cs="Calibri"/>
              </w:rPr>
              <w:t>-sparking tools.   If applicable, use process enclosures, local exhaust ventilation, or other engineering controls to maintain airborne levels</w:t>
            </w:r>
            <w:r>
              <w:rPr>
                <w:rFonts w:ascii="Calibri" w:eastAsia="Calibri" w:hAnsi="Calibri" w:cs="Calibri"/>
              </w:rPr>
              <w:t xml:space="preserve"> outside the flammability range and</w:t>
            </w:r>
            <w:r w:rsidR="00C6399F" w:rsidRPr="00C6399F">
              <w:rPr>
                <w:rFonts w:ascii="Calibri" w:eastAsia="Calibri" w:hAnsi="Calibri" w:cs="Calibri"/>
              </w:rPr>
              <w:t xml:space="preserve"> below recommended exposure limits. </w:t>
            </w:r>
            <w:r w:rsidR="00F17358">
              <w:rPr>
                <w:rFonts w:ascii="Calibri" w:eastAsia="Calibri" w:hAnsi="Calibri" w:cs="Calibri"/>
              </w:rPr>
              <w:t xml:space="preserve"> </w:t>
            </w:r>
            <w:r>
              <w:rPr>
                <w:rFonts w:ascii="Calibri" w:eastAsia="Calibri" w:hAnsi="Calibri" w:cs="Calibri"/>
              </w:rPr>
              <w:t>Access to emergency e</w:t>
            </w:r>
            <w:r w:rsidR="00C6399F" w:rsidRPr="00C6399F">
              <w:rPr>
                <w:rFonts w:ascii="Calibri" w:eastAsia="Calibri" w:hAnsi="Calibri" w:cs="Calibri"/>
              </w:rPr>
              <w:t xml:space="preserve">yewash and </w:t>
            </w:r>
            <w:r>
              <w:rPr>
                <w:rFonts w:ascii="Calibri" w:eastAsia="Calibri" w:hAnsi="Calibri" w:cs="Calibri"/>
              </w:rPr>
              <w:t>safety</w:t>
            </w:r>
            <w:r w:rsidR="00C6399F" w:rsidRPr="00C6399F">
              <w:rPr>
                <w:rFonts w:ascii="Calibri" w:eastAsia="Calibri" w:hAnsi="Calibri" w:cs="Calibri"/>
              </w:rPr>
              <w:t xml:space="preserve"> shower</w:t>
            </w:r>
            <w:r>
              <w:rPr>
                <w:rFonts w:ascii="Calibri" w:eastAsia="Calibri" w:hAnsi="Calibri" w:cs="Calibri"/>
              </w:rPr>
              <w:t xml:space="preserve"> is required. </w:t>
            </w:r>
            <w:r w:rsidR="00F17358">
              <w:rPr>
                <w:rFonts w:ascii="Calibri" w:eastAsia="Calibri" w:hAnsi="Calibri" w:cs="Calibri"/>
              </w:rPr>
              <w:t xml:space="preserve"> </w:t>
            </w:r>
            <w:r w:rsidR="00C6399F" w:rsidRPr="00C6399F">
              <w:rPr>
                <w:rFonts w:ascii="Calibri" w:eastAsia="Calibri" w:hAnsi="Calibri" w:cs="Calibri"/>
              </w:rPr>
              <w:t>Take precautionary measures against static discharges</w:t>
            </w:r>
            <w:r w:rsidR="00F17358">
              <w:rPr>
                <w:rFonts w:ascii="Calibri" w:eastAsia="Calibri" w:hAnsi="Calibri" w:cs="Calibri"/>
              </w:rPr>
              <w:t xml:space="preserve"> (i.e. anti-static foot/wrist straps/fabrics)</w:t>
            </w:r>
            <w:r w:rsidR="00C6399F" w:rsidRPr="00C6399F">
              <w:rPr>
                <w:rFonts w:ascii="Calibri" w:eastAsia="Calibri" w:hAnsi="Calibri" w:cs="Calibri"/>
              </w:rPr>
              <w:t xml:space="preserve">. </w:t>
            </w:r>
          </w:p>
          <w:p w14:paraId="36F29DC0" w14:textId="77777777" w:rsidR="005247FB" w:rsidRPr="00ED79CE" w:rsidRDefault="005247FB" w:rsidP="00C6399F">
            <w:pPr>
              <w:pStyle w:val="Heading3"/>
              <w:outlineLvl w:val="2"/>
              <w:rPr>
                <w:rFonts w:asciiTheme="minorHAnsi" w:hAnsiTheme="minorHAnsi" w:cstheme="minorHAnsi"/>
                <w:color w:val="auto"/>
                <w:sz w:val="22"/>
                <w:szCs w:val="22"/>
              </w:rPr>
            </w:pPr>
          </w:p>
        </w:tc>
      </w:tr>
      <w:tr w:rsidR="00663F21" w:rsidRPr="00663F21" w14:paraId="06B7CAE1" w14:textId="77777777" w:rsidTr="00A405F3">
        <w:trPr>
          <w:trHeight w:val="360"/>
          <w:jc w:val="center"/>
        </w:trPr>
        <w:tc>
          <w:tcPr>
            <w:tcW w:w="5000" w:type="pct"/>
            <w:gridSpan w:val="4"/>
            <w:shd w:val="clear" w:color="auto" w:fill="EAF1DD"/>
            <w:vAlign w:val="center"/>
          </w:tcPr>
          <w:p w14:paraId="16760903" w14:textId="77777777" w:rsidR="00663F21" w:rsidRPr="00663F21" w:rsidRDefault="00663F21" w:rsidP="00663F21">
            <w:pPr>
              <w:spacing w:line="360" w:lineRule="auto"/>
              <w:rPr>
                <w:b/>
                <w:bCs/>
              </w:rPr>
            </w:pPr>
            <w:r w:rsidRPr="00663F21">
              <w:rPr>
                <w:b/>
                <w:bCs/>
              </w:rPr>
              <w:t>PERSONAL PROTECTIVE EQUIPMENT</w:t>
            </w:r>
          </w:p>
        </w:tc>
      </w:tr>
      <w:tr w:rsidR="00663F21" w:rsidRPr="00663F21" w14:paraId="5BBD5258" w14:textId="77777777" w:rsidTr="00A405F3">
        <w:trPr>
          <w:jc w:val="center"/>
        </w:trPr>
        <w:tc>
          <w:tcPr>
            <w:tcW w:w="5000" w:type="pct"/>
            <w:gridSpan w:val="4"/>
          </w:tcPr>
          <w:p w14:paraId="60061E4C" w14:textId="77777777" w:rsidR="00663F21" w:rsidRPr="00663F21" w:rsidRDefault="00663F21" w:rsidP="00663F21">
            <w:pPr>
              <w:spacing w:line="360" w:lineRule="auto"/>
              <w:rPr>
                <w:bCs/>
                <w:i/>
              </w:rPr>
            </w:pPr>
          </w:p>
          <w:p w14:paraId="1B835C15" w14:textId="77777777" w:rsidR="00663F21" w:rsidRPr="00663F21" w:rsidRDefault="00663F21" w:rsidP="00663F21">
            <w:pPr>
              <w:spacing w:line="360" w:lineRule="auto"/>
              <w:rPr>
                <w:b/>
                <w:bCs/>
              </w:rPr>
            </w:pPr>
            <w:r w:rsidRPr="00663F21">
              <w:rPr>
                <w:b/>
                <w:bCs/>
              </w:rPr>
              <w:t xml:space="preserve">PPE Requirements: </w:t>
            </w:r>
          </w:p>
          <w:p w14:paraId="1F14D283" w14:textId="2D780A3A" w:rsidR="00663F21" w:rsidRPr="00663F21" w:rsidRDefault="002664A8" w:rsidP="00663F21">
            <w:pPr>
              <w:spacing w:line="360" w:lineRule="auto"/>
            </w:pPr>
            <w:sdt>
              <w:sdtPr>
                <w:id w:val="2068215700"/>
                <w14:checkbox>
                  <w14:checked w14:val="1"/>
                  <w14:checkedState w14:val="2612" w14:font="MS Gothic"/>
                  <w14:uncheckedState w14:val="2610" w14:font="MS Gothic"/>
                </w14:checkbox>
              </w:sdtPr>
              <w:sdtEndPr/>
              <w:sdtContent>
                <w:r w:rsidR="004021A6">
                  <w:rPr>
                    <w:rFonts w:ascii="MS Gothic" w:eastAsia="MS Gothic" w:hAnsi="MS Gothic" w:hint="eastAsia"/>
                  </w:rPr>
                  <w:t>☒</w:t>
                </w:r>
              </w:sdtContent>
            </w:sdt>
            <w:r w:rsidR="00663F21" w:rsidRPr="00663F21">
              <w:t xml:space="preserve"> Long pants or clothing that covers all skin below the waist</w:t>
            </w:r>
          </w:p>
          <w:p w14:paraId="47701F5F" w14:textId="68FC0809" w:rsidR="00663F21" w:rsidRPr="00663F21" w:rsidRDefault="002664A8" w:rsidP="00663F21">
            <w:pPr>
              <w:spacing w:line="360" w:lineRule="auto"/>
            </w:pPr>
            <w:sdt>
              <w:sdtPr>
                <w:id w:val="-965739088"/>
                <w14:checkbox>
                  <w14:checked w14:val="1"/>
                  <w14:checkedState w14:val="2612" w14:font="MS Gothic"/>
                  <w14:uncheckedState w14:val="2610" w14:font="MS Gothic"/>
                </w14:checkbox>
              </w:sdtPr>
              <w:sdtEndPr/>
              <w:sdtContent>
                <w:r w:rsidR="004021A6">
                  <w:rPr>
                    <w:rFonts w:ascii="MS Gothic" w:eastAsia="MS Gothic" w:hAnsi="MS Gothic" w:hint="eastAsia"/>
                  </w:rPr>
                  <w:t>☒</w:t>
                </w:r>
              </w:sdtContent>
            </w:sdt>
            <w:r w:rsidR="00663F21" w:rsidRPr="00663F21">
              <w:t xml:space="preserve"> Shoes that cover the entire foot</w:t>
            </w:r>
          </w:p>
          <w:p w14:paraId="5F58D0E4" w14:textId="5662387A" w:rsidR="00663F21" w:rsidRPr="00663F21" w:rsidRDefault="002664A8" w:rsidP="00663F21">
            <w:pPr>
              <w:spacing w:line="360" w:lineRule="auto"/>
            </w:pPr>
            <w:sdt>
              <w:sdtPr>
                <w:id w:val="1226106588"/>
                <w14:checkbox>
                  <w14:checked w14:val="1"/>
                  <w14:checkedState w14:val="2612" w14:font="MS Gothic"/>
                  <w14:uncheckedState w14:val="2610" w14:font="MS Gothic"/>
                </w14:checkbox>
              </w:sdtPr>
              <w:sdtEndPr/>
              <w:sdtContent>
                <w:r w:rsidR="00C3611F">
                  <w:rPr>
                    <w:rFonts w:ascii="MS Gothic" w:eastAsia="MS Gothic" w:hAnsi="MS Gothic" w:hint="eastAsia"/>
                  </w:rPr>
                  <w:t>☒</w:t>
                </w:r>
              </w:sdtContent>
            </w:sdt>
            <w:r w:rsidR="00663F21" w:rsidRPr="00663F21">
              <w:t xml:space="preserve"> Gloves; indicate type: </w:t>
            </w:r>
            <w:sdt>
              <w:sdtPr>
                <w:id w:val="-1791196361"/>
                <w:text/>
              </w:sdtPr>
              <w:sdtEndPr/>
              <w:sdtContent>
                <w:r w:rsidR="00C3611F">
                  <w:t xml:space="preserve">Nitrile </w:t>
                </w:r>
                <w:r w:rsidR="00C6399F">
                  <w:t>and</w:t>
                </w:r>
                <w:r w:rsidR="00C3611F">
                  <w:t xml:space="preserve"> butyl </w:t>
                </w:r>
                <w:r w:rsidR="00C6399F">
                  <w:t>for larger amounts</w:t>
                </w:r>
              </w:sdtContent>
            </w:sdt>
          </w:p>
          <w:p w14:paraId="75E2C698"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D31AD53" w14:textId="06336934" w:rsidR="00663F21" w:rsidRPr="00663F21" w:rsidRDefault="002664A8" w:rsidP="00663F21">
            <w:pPr>
              <w:spacing w:line="360" w:lineRule="auto"/>
            </w:pPr>
            <w:sdt>
              <w:sdtPr>
                <w:id w:val="1034698818"/>
                <w14:checkbox>
                  <w14:checked w14:val="1"/>
                  <w14:checkedState w14:val="2612" w14:font="MS Gothic"/>
                  <w14:uncheckedState w14:val="2610" w14:font="MS Gothic"/>
                </w14:checkbox>
              </w:sdtPr>
              <w:sdtEndPr/>
              <w:sdtContent>
                <w:r w:rsidR="004021A6">
                  <w:rPr>
                    <w:rFonts w:ascii="MS Gothic" w:eastAsia="MS Gothic" w:hAnsi="MS Gothic" w:hint="eastAsia"/>
                  </w:rPr>
                  <w:t>☒</w:t>
                </w:r>
              </w:sdtContent>
            </w:sdt>
            <w:r w:rsidR="00663F21" w:rsidRPr="00663F21">
              <w:t xml:space="preserve"> Safety goggles  </w:t>
            </w:r>
          </w:p>
          <w:p w14:paraId="5E3F9034" w14:textId="77777777" w:rsidR="00663F21" w:rsidRPr="00663F21" w:rsidRDefault="002664A8"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5183C4A9" w14:textId="77777777" w:rsidR="00663F21" w:rsidRPr="00663F21" w:rsidRDefault="002664A8" w:rsidP="00663F21">
            <w:pPr>
              <w:spacing w:line="360" w:lineRule="auto"/>
            </w:pPr>
            <w:sdt>
              <w:sdtPr>
                <w:id w:val="46431294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Face shield  </w:t>
            </w:r>
          </w:p>
          <w:p w14:paraId="0E6EB7A1" w14:textId="6FD4858A" w:rsidR="00663F21" w:rsidRPr="00663F21" w:rsidRDefault="002664A8" w:rsidP="00663F21">
            <w:pPr>
              <w:spacing w:line="360" w:lineRule="auto"/>
            </w:pPr>
            <w:sdt>
              <w:sdtPr>
                <w:id w:val="1423373624"/>
                <w14:checkbox>
                  <w14:checked w14:val="1"/>
                  <w14:checkedState w14:val="2612" w14:font="MS Gothic"/>
                  <w14:uncheckedState w14:val="2610" w14:font="MS Gothic"/>
                </w14:checkbox>
              </w:sdtPr>
              <w:sdtEndPr/>
              <w:sdtContent>
                <w:r w:rsidR="004021A6">
                  <w:rPr>
                    <w:rFonts w:ascii="MS Gothic" w:eastAsia="MS Gothic" w:hAnsi="MS Gothic" w:hint="eastAsia"/>
                  </w:rPr>
                  <w:t>☒</w:t>
                </w:r>
              </w:sdtContent>
            </w:sdt>
            <w:r w:rsidR="00663F21" w:rsidRPr="00663F21">
              <w:t xml:space="preserve"> Lab coat</w:t>
            </w:r>
          </w:p>
          <w:p w14:paraId="167C1D9A" w14:textId="613A007D" w:rsidR="00663F21" w:rsidRPr="00663F21" w:rsidRDefault="002664A8" w:rsidP="00663F21">
            <w:pPr>
              <w:spacing w:line="360" w:lineRule="auto"/>
            </w:pPr>
            <w:sdt>
              <w:sdtPr>
                <w:id w:val="1214781860"/>
                <w14:checkbox>
                  <w14:checked w14:val="1"/>
                  <w14:checkedState w14:val="2612" w14:font="MS Gothic"/>
                  <w14:uncheckedState w14:val="2610" w14:font="MS Gothic"/>
                </w14:checkbox>
              </w:sdtPr>
              <w:sdtEndPr/>
              <w:sdtContent>
                <w:r w:rsidR="000B4048">
                  <w:rPr>
                    <w:rFonts w:ascii="MS Gothic" w:eastAsia="MS Gothic" w:hAnsi="MS Gothic" w:hint="eastAsia"/>
                  </w:rPr>
                  <w:t>☒</w:t>
                </w:r>
              </w:sdtContent>
            </w:sdt>
            <w:r w:rsidR="00663F21" w:rsidRPr="00663F21">
              <w:t xml:space="preserve"> Flame-resistant lab coat        </w:t>
            </w:r>
          </w:p>
          <w:p w14:paraId="74DCCDBA" w14:textId="77777777" w:rsidR="00663F21" w:rsidRPr="00663F21" w:rsidRDefault="002664A8"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44EAFD9C" w14:textId="77777777" w:rsidR="00663F21" w:rsidRPr="00663F21" w:rsidRDefault="00663F21" w:rsidP="00663F21">
            <w:pPr>
              <w:spacing w:line="360" w:lineRule="auto"/>
            </w:pPr>
          </w:p>
          <w:p w14:paraId="12AC163F" w14:textId="7E996DA4" w:rsidR="00663F21" w:rsidRDefault="00663F21" w:rsidP="00663F21">
            <w:pPr>
              <w:spacing w:line="360" w:lineRule="auto"/>
            </w:pPr>
            <w:r w:rsidRPr="00663F21">
              <w:lastRenderedPageBreak/>
              <w:t xml:space="preserve">If the use of an N95, half mask, or </w:t>
            </w:r>
            <w:r w:rsidR="002D1CDF" w:rsidRPr="00663F21">
              <w:t>full-face</w:t>
            </w:r>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w:t>
            </w:r>
            <w:r w:rsidR="002D1CDF" w:rsidRPr="00663F21">
              <w:t>evaluation,</w:t>
            </w:r>
            <w:r w:rsidRPr="00663F21">
              <w:t xml:space="preserve"> respirator fit test, and training.</w:t>
            </w:r>
          </w:p>
          <w:p w14:paraId="4B94D5A5" w14:textId="77777777" w:rsidR="00663F21" w:rsidRDefault="00663F21" w:rsidP="00663F21">
            <w:pPr>
              <w:spacing w:line="360" w:lineRule="auto"/>
            </w:pPr>
          </w:p>
          <w:p w14:paraId="3DEEC669" w14:textId="77777777" w:rsidR="00663F21" w:rsidRPr="00663F21" w:rsidRDefault="00663F21" w:rsidP="00663F21">
            <w:pPr>
              <w:spacing w:line="360" w:lineRule="auto"/>
            </w:pPr>
          </w:p>
          <w:p w14:paraId="3656B9AB" w14:textId="77777777" w:rsidR="00663F21" w:rsidRPr="00663F21" w:rsidRDefault="00663F21" w:rsidP="00663F21">
            <w:pPr>
              <w:spacing w:line="360" w:lineRule="auto"/>
              <w:rPr>
                <w:b/>
                <w:bCs/>
              </w:rPr>
            </w:pPr>
          </w:p>
        </w:tc>
      </w:tr>
      <w:tr w:rsidR="00663F21" w:rsidRPr="00663F21" w14:paraId="1090E157" w14:textId="77777777" w:rsidTr="00A405F3">
        <w:trPr>
          <w:trHeight w:val="360"/>
          <w:jc w:val="center"/>
        </w:trPr>
        <w:tc>
          <w:tcPr>
            <w:tcW w:w="5000" w:type="pct"/>
            <w:gridSpan w:val="4"/>
            <w:shd w:val="clear" w:color="auto" w:fill="EAF1DD"/>
            <w:vAlign w:val="center"/>
          </w:tcPr>
          <w:p w14:paraId="7A23732F"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68B8873A" w14:textId="77777777" w:rsidTr="00A405F3">
        <w:trPr>
          <w:trHeight w:val="293"/>
          <w:jc w:val="center"/>
        </w:trPr>
        <w:tc>
          <w:tcPr>
            <w:tcW w:w="5000" w:type="pct"/>
            <w:gridSpan w:val="4"/>
          </w:tcPr>
          <w:p w14:paraId="45FB0818" w14:textId="77777777" w:rsidR="00663F21" w:rsidRPr="00663F21" w:rsidRDefault="00663F21" w:rsidP="00663F21">
            <w:pPr>
              <w:spacing w:line="360" w:lineRule="auto"/>
            </w:pPr>
          </w:p>
          <w:p w14:paraId="00D6C38F"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545C23EB" w14:textId="77777777" w:rsidR="00663F21" w:rsidRPr="00663F21" w:rsidRDefault="00663F21" w:rsidP="00663F21">
            <w:pPr>
              <w:spacing w:line="360" w:lineRule="auto"/>
            </w:pPr>
            <w:r w:rsidRPr="00663F21">
              <w:t xml:space="preserve"> If someone is seriously injured or unconscious</w:t>
            </w:r>
          </w:p>
          <w:p w14:paraId="2216180D" w14:textId="77777777" w:rsidR="00663F21" w:rsidRPr="00663F21" w:rsidRDefault="00663F21" w:rsidP="00663F21">
            <w:pPr>
              <w:spacing w:line="360" w:lineRule="auto"/>
              <w:rPr>
                <w:b/>
              </w:rPr>
            </w:pPr>
            <w:r w:rsidRPr="00663F21">
              <w:rPr>
                <w:b/>
              </w:rPr>
              <w:t>CALL 911 or CAMPUS POLICE AT &lt;enter your campus PD #&gt;</w:t>
            </w:r>
          </w:p>
          <w:p w14:paraId="1A56FF80"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49F31CB" w14:textId="77777777" w:rsidR="00663F21" w:rsidRPr="00663F21" w:rsidRDefault="00663F21" w:rsidP="00663F21">
            <w:pPr>
              <w:spacing w:line="360" w:lineRule="auto"/>
            </w:pPr>
          </w:p>
          <w:p w14:paraId="40FED1D7" w14:textId="77777777" w:rsidR="00ED79CE" w:rsidRPr="00A405F3" w:rsidRDefault="00663F21" w:rsidP="00ED79CE">
            <w:pPr>
              <w:spacing w:line="360" w:lineRule="auto"/>
              <w:rPr>
                <w:rFonts w:ascii="Calibri" w:eastAsia="Calibri" w:hAnsi="Calibri" w:cs="Times New Roman"/>
              </w:rPr>
            </w:pPr>
            <w:r w:rsidRPr="00663F21">
              <w:rPr>
                <w:b/>
              </w:rPr>
              <w:t>Chemical Exposure</w:t>
            </w:r>
            <w:r w:rsidR="00ED79CE">
              <w:rPr>
                <w:b/>
              </w:rPr>
              <w:t>:</w:t>
            </w:r>
            <w:r w:rsidRPr="00663F21">
              <w:t xml:space="preserve"> </w:t>
            </w:r>
            <w:r w:rsidR="00ED79CE" w:rsidRPr="00A405F3">
              <w:rPr>
                <w:rFonts w:ascii="Calibri" w:eastAsia="Calibri" w:hAnsi="Calibri" w:cs="Times New Roman"/>
              </w:rPr>
              <w:t xml:space="preserve">Flammable liquids pose a risk of burns, fire, and explosions. Some flammable liquids may produce vapors that are heavier than air and may settle in low areas and flash back on contact with an ignition source. </w:t>
            </w:r>
          </w:p>
          <w:p w14:paraId="0AC507F1" w14:textId="77777777" w:rsidR="00ED79CE" w:rsidRPr="00B52CD2" w:rsidRDefault="00ED79CE" w:rsidP="00ED79CE">
            <w:pPr>
              <w:spacing w:line="360" w:lineRule="auto"/>
            </w:pPr>
            <w:r w:rsidRPr="00B52CD2">
              <w:rPr>
                <w:b/>
                <w:u w:val="single"/>
              </w:rPr>
              <w:t xml:space="preserve">Inhalation: </w:t>
            </w:r>
            <w:r w:rsidRPr="00B52CD2">
              <w:t>Remove person to fresh air and loosen tight clothing if needed. Give artificial respiration if necessary. Consult a doctor/medical service.</w:t>
            </w:r>
          </w:p>
          <w:p w14:paraId="43CE4C11" w14:textId="77777777" w:rsidR="00ED79CE" w:rsidRPr="00B52CD2" w:rsidRDefault="00ED79CE" w:rsidP="00ED79CE">
            <w:pPr>
              <w:spacing w:line="360" w:lineRule="auto"/>
            </w:pPr>
            <w:r w:rsidRPr="00B52CD2">
              <w:rPr>
                <w:b/>
                <w:u w:val="single"/>
              </w:rPr>
              <w:t xml:space="preserve">Skin Contact: </w:t>
            </w:r>
            <w:r w:rsidRPr="00B52CD2">
              <w:t>Wash immediately with water (15 minutes)/shower. Remove contaminated clothing and shoes.  Continue to rinse for at least 10 minutes.  Get medical attention if you feel unwell.</w:t>
            </w:r>
          </w:p>
          <w:p w14:paraId="5C4905C3" w14:textId="77777777" w:rsidR="00ED79CE" w:rsidRPr="00B52CD2" w:rsidRDefault="00ED79CE" w:rsidP="00ED79CE">
            <w:pPr>
              <w:spacing w:line="360" w:lineRule="auto"/>
            </w:pPr>
            <w:r w:rsidRPr="00B52CD2">
              <w:rPr>
                <w:b/>
                <w:u w:val="single"/>
              </w:rPr>
              <w:t xml:space="preserve">Eye Contact: </w:t>
            </w:r>
            <w:r w:rsidRPr="00B52CD2">
              <w:t>Rinse cautiously with water for at least 15 minutes. Remove contact lenses, if present and easy to do. Continue rinsing. Consult a doctor/medical service immediately.</w:t>
            </w:r>
          </w:p>
          <w:p w14:paraId="00B5EAE2" w14:textId="56BD009D" w:rsidR="00663F21" w:rsidRPr="00663F21" w:rsidRDefault="00ED79CE" w:rsidP="00ED79CE">
            <w:pPr>
              <w:spacing w:line="360" w:lineRule="auto"/>
            </w:pPr>
            <w:r w:rsidRPr="00B52CD2">
              <w:rPr>
                <w:b/>
                <w:u w:val="single"/>
              </w:rPr>
              <w:t>Ingestion:</w:t>
            </w:r>
            <w:r w:rsidR="007A125C" w:rsidRPr="007854D1">
              <w:rPr>
                <w:rFonts w:cstheme="minorHAnsi"/>
              </w:rPr>
              <w:t xml:space="preserve"> Do not induce vomiting</w:t>
            </w:r>
            <w:r w:rsidR="007A125C">
              <w:rPr>
                <w:rFonts w:cstheme="minorHAnsi"/>
              </w:rPr>
              <w:t>/</w:t>
            </w:r>
            <w:r w:rsidRPr="00B52CD2">
              <w:t>Immediately consult a doctor/medical service.</w:t>
            </w:r>
          </w:p>
          <w:p w14:paraId="53128261" w14:textId="77777777" w:rsidR="00663F21" w:rsidRPr="00663F21" w:rsidRDefault="00663F21" w:rsidP="00663F21">
            <w:pPr>
              <w:spacing w:line="360" w:lineRule="auto"/>
              <w:rPr>
                <w:b/>
                <w:bCs/>
              </w:rPr>
            </w:pPr>
          </w:p>
          <w:p w14:paraId="02B3AE07" w14:textId="77777777" w:rsidR="00663F21" w:rsidRPr="00663F21" w:rsidRDefault="00663F21" w:rsidP="00663F21">
            <w:pPr>
              <w:spacing w:line="360" w:lineRule="auto"/>
              <w:rPr>
                <w:b/>
              </w:rPr>
            </w:pPr>
            <w:r w:rsidRPr="00663F21">
              <w:rPr>
                <w:b/>
                <w:bCs/>
              </w:rPr>
              <w:t>Evacuation Procedure</w:t>
            </w:r>
          </w:p>
          <w:p w14:paraId="13463CE2" w14:textId="77777777" w:rsidR="00663F21" w:rsidRPr="00663F21" w:rsidRDefault="00663F21" w:rsidP="00663F21">
            <w:pPr>
              <w:numPr>
                <w:ilvl w:val="0"/>
                <w:numId w:val="2"/>
              </w:numPr>
              <w:spacing w:line="360" w:lineRule="auto"/>
            </w:pPr>
            <w:r w:rsidRPr="00663F21">
              <w:t xml:space="preserve">Immediately evacuate the building via the nearest exit when the fire alarm is activated. </w:t>
            </w:r>
          </w:p>
          <w:p w14:paraId="3609956C" w14:textId="77777777" w:rsidR="00663F21" w:rsidRPr="00663F21" w:rsidRDefault="00663F21" w:rsidP="00663F21">
            <w:pPr>
              <w:numPr>
                <w:ilvl w:val="0"/>
                <w:numId w:val="2"/>
              </w:numPr>
              <w:spacing w:line="360" w:lineRule="auto"/>
            </w:pPr>
            <w:r w:rsidRPr="00663F21">
              <w:t>If unable to evacuate due to a disability, shelter in the area of rescue / refuge, typically a stairwell landing, and wait for assistance from drill volunteers or emergency responders.</w:t>
            </w:r>
          </w:p>
          <w:p w14:paraId="53985C0A" w14:textId="77777777" w:rsidR="00663F21" w:rsidRPr="00663F21" w:rsidRDefault="00663F21" w:rsidP="00663F21">
            <w:pPr>
              <w:numPr>
                <w:ilvl w:val="0"/>
                <w:numId w:val="3"/>
              </w:numPr>
              <w:spacing w:line="360" w:lineRule="auto"/>
            </w:pPr>
            <w:r w:rsidRPr="00663F21">
              <w:t xml:space="preserve">Instruct visitors and students to evacuate and assist them in locating the nearest exit.   </w:t>
            </w:r>
          </w:p>
          <w:p w14:paraId="4A97D1D4" w14:textId="77777777" w:rsidR="00663F21" w:rsidRPr="00663F21" w:rsidRDefault="00663F21" w:rsidP="00663F21">
            <w:pPr>
              <w:numPr>
                <w:ilvl w:val="0"/>
                <w:numId w:val="3"/>
              </w:numPr>
              <w:spacing w:line="360" w:lineRule="auto"/>
            </w:pPr>
            <w:r w:rsidRPr="00663F21">
              <w:t>Do not use elevators to exit the building during an evacuation as they may become inoperable.</w:t>
            </w:r>
          </w:p>
          <w:p w14:paraId="303E008B" w14:textId="77777777" w:rsidR="00663F21" w:rsidRPr="00663F21" w:rsidRDefault="00663F21" w:rsidP="00663F21">
            <w:pPr>
              <w:numPr>
                <w:ilvl w:val="0"/>
                <w:numId w:val="3"/>
              </w:numPr>
              <w:spacing w:line="360" w:lineRule="auto"/>
            </w:pPr>
            <w:r w:rsidRPr="00663F21">
              <w:t>Carry only those personal belongings that are within the immediate vicinity.</w:t>
            </w:r>
          </w:p>
          <w:p w14:paraId="769CA51C" w14:textId="77777777" w:rsidR="00663F21" w:rsidRPr="00663F21" w:rsidRDefault="00663F21" w:rsidP="00663F21">
            <w:pPr>
              <w:numPr>
                <w:ilvl w:val="0"/>
                <w:numId w:val="3"/>
              </w:numPr>
              <w:spacing w:line="360" w:lineRule="auto"/>
              <w:rPr>
                <w:b/>
                <w:bCs/>
              </w:rPr>
            </w:pPr>
            <w:r w:rsidRPr="00663F21">
              <w:t>Close doors to limit the potential spread of smoke and fire.</w:t>
            </w:r>
          </w:p>
          <w:p w14:paraId="3B8CFD14" w14:textId="77777777" w:rsidR="00663F21" w:rsidRPr="00663F21" w:rsidRDefault="00663F21" w:rsidP="00663F21">
            <w:pPr>
              <w:numPr>
                <w:ilvl w:val="0"/>
                <w:numId w:val="3"/>
              </w:numPr>
              <w:spacing w:line="360" w:lineRule="auto"/>
            </w:pPr>
            <w:r w:rsidRPr="00663F21">
              <w:t>Terminate all hazardous operations and power off equipment.</w:t>
            </w:r>
          </w:p>
          <w:p w14:paraId="4328F6BB" w14:textId="77777777" w:rsidR="00663F21" w:rsidRPr="00663F21" w:rsidRDefault="00663F21" w:rsidP="00663F21">
            <w:pPr>
              <w:numPr>
                <w:ilvl w:val="0"/>
                <w:numId w:val="3"/>
              </w:numPr>
              <w:spacing w:line="360" w:lineRule="auto"/>
            </w:pPr>
            <w:r w:rsidRPr="00663F21">
              <w:lastRenderedPageBreak/>
              <w:t>Close all hazardous materials containers.</w:t>
            </w:r>
          </w:p>
          <w:p w14:paraId="3826F617" w14:textId="77777777" w:rsidR="00663F21" w:rsidRPr="00663F21" w:rsidRDefault="00663F21" w:rsidP="00663F21">
            <w:pPr>
              <w:numPr>
                <w:ilvl w:val="0"/>
                <w:numId w:val="3"/>
              </w:numPr>
              <w:spacing w:line="360" w:lineRule="auto"/>
            </w:pPr>
            <w:r w:rsidRPr="00663F21">
              <w:t>Remain outside of the building until the building is released for reentry.</w:t>
            </w:r>
          </w:p>
          <w:p w14:paraId="333515B2" w14:textId="77777777" w:rsidR="00663F21" w:rsidRPr="00663F21" w:rsidRDefault="00663F21" w:rsidP="00663F21">
            <w:pPr>
              <w:numPr>
                <w:ilvl w:val="0"/>
                <w:numId w:val="3"/>
              </w:numPr>
              <w:spacing w:line="360" w:lineRule="auto"/>
            </w:pPr>
            <w:r w:rsidRPr="00663F21">
              <w:t>Do not restrict or impede the evacuation.</w:t>
            </w:r>
          </w:p>
          <w:p w14:paraId="0BF37E4B" w14:textId="77777777" w:rsidR="00663F21" w:rsidRPr="00663F21" w:rsidRDefault="00663F21" w:rsidP="00663F21">
            <w:pPr>
              <w:numPr>
                <w:ilvl w:val="0"/>
                <w:numId w:val="3"/>
              </w:numPr>
              <w:spacing w:line="360" w:lineRule="auto"/>
            </w:pPr>
            <w:r w:rsidRPr="00663F21">
              <w:t>Convene in the designated grassy gathering area and await instruction from emergency responders or drill volunteers.  Avoid parking lots.</w:t>
            </w:r>
          </w:p>
          <w:p w14:paraId="7E993A06" w14:textId="77777777" w:rsidR="00663F21" w:rsidRPr="00663F21" w:rsidRDefault="00663F21" w:rsidP="00663F21">
            <w:pPr>
              <w:numPr>
                <w:ilvl w:val="0"/>
                <w:numId w:val="4"/>
              </w:numPr>
              <w:spacing w:line="360" w:lineRule="auto"/>
            </w:pPr>
            <w:r w:rsidRPr="00663F21">
              <w:t>Report fire alarm deficiencies, (e.g., trouble hearing the alarm) to facilities personnel for repair.</w:t>
            </w:r>
          </w:p>
          <w:p w14:paraId="1C08371E" w14:textId="77777777" w:rsidR="00663F21" w:rsidRPr="00663F21" w:rsidRDefault="00663F21" w:rsidP="00663F21">
            <w:pPr>
              <w:numPr>
                <w:ilvl w:val="0"/>
                <w:numId w:val="4"/>
              </w:numPr>
              <w:spacing w:line="360" w:lineRule="auto"/>
              <w:rPr>
                <w:b/>
                <w:bCs/>
              </w:rPr>
            </w:pPr>
            <w:r w:rsidRPr="00663F21">
              <w:t xml:space="preserve">Notify evacuation drill volunteers or emergency responders of persons sheltering in the areas of rescue/ refuge.  </w:t>
            </w:r>
          </w:p>
          <w:p w14:paraId="4AE79D50" w14:textId="77777777" w:rsidR="00663F21" w:rsidRPr="00663F21" w:rsidRDefault="00663F21" w:rsidP="00663F21">
            <w:pPr>
              <w:numPr>
                <w:ilvl w:val="0"/>
                <w:numId w:val="4"/>
              </w:numPr>
              <w:spacing w:line="360" w:lineRule="auto"/>
              <w:rPr>
                <w:b/>
                <w:bCs/>
              </w:rPr>
            </w:pPr>
            <w:r w:rsidRPr="00663F21">
              <w:rPr>
                <w:b/>
                <w:bCs/>
              </w:rPr>
              <w:t>Never assume that an alarm is a “false alarm”.  Treat all fire alarm activations as emergencies.  Get out of the building!</w:t>
            </w:r>
          </w:p>
          <w:p w14:paraId="62486C05" w14:textId="77777777" w:rsidR="00663F21" w:rsidRPr="00663F21" w:rsidRDefault="00663F21" w:rsidP="00663F21">
            <w:pPr>
              <w:spacing w:line="360" w:lineRule="auto"/>
              <w:rPr>
                <w:b/>
                <w:bCs/>
              </w:rPr>
            </w:pPr>
          </w:p>
          <w:p w14:paraId="03A9023A" w14:textId="77777777" w:rsidR="004546DA" w:rsidRPr="00663F21" w:rsidRDefault="004546DA" w:rsidP="004546DA">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w:t>
            </w:r>
            <w:r>
              <w:rPr>
                <w:bCs/>
              </w:rPr>
              <w:t>medical</w:t>
            </w:r>
            <w:r w:rsidRPr="00663F21">
              <w:rPr>
                <w:bCs/>
              </w:rPr>
              <w:t xml:space="preserve"> information of the person involved in the incident shall be entered </w:t>
            </w:r>
            <w:r>
              <w:rPr>
                <w:bCs/>
              </w:rPr>
              <w:t xml:space="preserve">on </w:t>
            </w:r>
            <w:r w:rsidRPr="00663F21">
              <w:rPr>
                <w:bCs/>
              </w:rPr>
              <w:t xml:space="preserve">or submitted with the form. </w:t>
            </w:r>
          </w:p>
          <w:p w14:paraId="05C710FD" w14:textId="77777777" w:rsidR="004546DA" w:rsidRPr="00663F21" w:rsidRDefault="002664A8" w:rsidP="004546DA">
            <w:pPr>
              <w:spacing w:line="360" w:lineRule="auto"/>
              <w:rPr>
                <w:b/>
                <w:bCs/>
              </w:rPr>
            </w:pPr>
            <w:hyperlink r:id="rId7" w:history="1">
              <w:r w:rsidR="004546DA" w:rsidRPr="00663F21">
                <w:rPr>
                  <w:rStyle w:val="Hyperlink"/>
                  <w:bCs/>
                </w:rPr>
                <w:t>http://www.usf.edu/administrative-services/environmental-health-safety/reporting/index.aspx</w:t>
              </w:r>
            </w:hyperlink>
          </w:p>
          <w:p w14:paraId="40E369F1" w14:textId="77777777" w:rsidR="004546DA" w:rsidRPr="00663F21" w:rsidRDefault="004546DA" w:rsidP="004546DA">
            <w:pPr>
              <w:spacing w:line="360" w:lineRule="auto"/>
              <w:rPr>
                <w:b/>
                <w:bCs/>
              </w:rPr>
            </w:pPr>
          </w:p>
          <w:p w14:paraId="6F640695" w14:textId="77777777" w:rsidR="004546DA" w:rsidRDefault="004546DA" w:rsidP="004546DA">
            <w:pPr>
              <w:spacing w:line="360" w:lineRule="auto"/>
            </w:pPr>
            <w:r w:rsidRPr="00663F21">
              <w:rPr>
                <w:b/>
                <w:bCs/>
              </w:rPr>
              <w:t>Workers’ Compensation Procedure:</w:t>
            </w:r>
            <w:r w:rsidRPr="005A6A9A">
              <w:rPr>
                <w:iCs/>
              </w:rPr>
              <w:t xml:space="preserve"> Supervisor and employee (if possible) call AmeriSys at 800-455-2079 to report a work-related injury or illness.  Complete the</w:t>
            </w:r>
            <w:r>
              <w:rPr>
                <w:bCs/>
              </w:rPr>
              <w:t xml:space="preserve"> </w:t>
            </w:r>
            <w:hyperlink r:id="rId8" w:history="1">
              <w:r w:rsidRPr="003734F4">
                <w:rPr>
                  <w:rStyle w:val="Hyperlink"/>
                  <w:bCs/>
                </w:rPr>
                <w:t>Consolidated Injury/Illness Reporting Form</w:t>
              </w:r>
            </w:hyperlink>
            <w:r>
              <w:rPr>
                <w:bCs/>
              </w:rPr>
              <w:t>, and send it to EH&amp;S within 24 hours.</w:t>
            </w:r>
          </w:p>
          <w:p w14:paraId="4B99056E" w14:textId="77777777" w:rsidR="00663F21" w:rsidRPr="00663F21" w:rsidRDefault="00663F21" w:rsidP="00663F21">
            <w:pPr>
              <w:spacing w:line="360" w:lineRule="auto"/>
              <w:rPr>
                <w:b/>
                <w:bCs/>
              </w:rPr>
            </w:pPr>
          </w:p>
        </w:tc>
      </w:tr>
      <w:tr w:rsidR="00663F21" w:rsidRPr="00663F21" w14:paraId="4613F27E" w14:textId="77777777" w:rsidTr="00A405F3">
        <w:trPr>
          <w:trHeight w:val="360"/>
          <w:jc w:val="center"/>
        </w:trPr>
        <w:tc>
          <w:tcPr>
            <w:tcW w:w="5000" w:type="pct"/>
            <w:gridSpan w:val="4"/>
            <w:shd w:val="clear" w:color="auto" w:fill="EAF1DD"/>
            <w:vAlign w:val="center"/>
          </w:tcPr>
          <w:p w14:paraId="0FCE386E"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7196F07" w14:textId="77777777" w:rsidTr="00A405F3">
        <w:trPr>
          <w:trHeight w:val="563"/>
          <w:jc w:val="center"/>
        </w:trPr>
        <w:tc>
          <w:tcPr>
            <w:tcW w:w="5000" w:type="pct"/>
            <w:gridSpan w:val="4"/>
          </w:tcPr>
          <w:p w14:paraId="71663AE1" w14:textId="0D63139C" w:rsidR="00663F21" w:rsidRPr="00663F21" w:rsidRDefault="000327A6" w:rsidP="00663F21">
            <w:pPr>
              <w:spacing w:line="360" w:lineRule="auto"/>
              <w:rPr>
                <w:iCs/>
              </w:rPr>
            </w:pPr>
            <w:r>
              <w:rPr>
                <w:iCs/>
              </w:rPr>
              <w:t xml:space="preserve"> Never pour waste flammable liquids </w:t>
            </w:r>
            <w:r w:rsidR="006F1B6F">
              <w:rPr>
                <w:iCs/>
              </w:rPr>
              <w:t>down sinks or drains.</w:t>
            </w:r>
          </w:p>
          <w:p w14:paraId="1B88C943" w14:textId="0BAEF91A"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9" w:history="1">
              <w:r w:rsidR="004021A6" w:rsidRPr="00102B6D">
                <w:rPr>
                  <w:rStyle w:val="Hyperlink"/>
                </w:rPr>
                <w:t>https://www.usf.edu/administrative-services/environmental-health-safety/documents/hazwaste-managementprocedure.pdf</w:t>
              </w:r>
            </w:hyperlink>
          </w:p>
        </w:tc>
      </w:tr>
      <w:tr w:rsidR="00663F21" w:rsidRPr="00663F21" w14:paraId="126834CB" w14:textId="77777777" w:rsidTr="00A405F3">
        <w:trPr>
          <w:trHeight w:val="360"/>
          <w:jc w:val="center"/>
        </w:trPr>
        <w:tc>
          <w:tcPr>
            <w:tcW w:w="5000" w:type="pct"/>
            <w:gridSpan w:val="4"/>
            <w:shd w:val="clear" w:color="auto" w:fill="EAF1DD"/>
            <w:vAlign w:val="center"/>
          </w:tcPr>
          <w:p w14:paraId="02387EF4" w14:textId="77777777" w:rsidR="00663F21" w:rsidRPr="00663F21" w:rsidRDefault="00663F21" w:rsidP="00663F21">
            <w:pPr>
              <w:spacing w:line="360" w:lineRule="auto"/>
            </w:pPr>
            <w:r w:rsidRPr="00663F21">
              <w:rPr>
                <w:b/>
                <w:bCs/>
              </w:rPr>
              <w:t>TRAINING REQUIREMENTS</w:t>
            </w:r>
          </w:p>
        </w:tc>
      </w:tr>
      <w:tr w:rsidR="00474EA5" w:rsidRPr="00663F21" w14:paraId="64528E02" w14:textId="77777777" w:rsidTr="00A405F3">
        <w:trPr>
          <w:trHeight w:val="800"/>
          <w:jc w:val="center"/>
        </w:trPr>
        <w:tc>
          <w:tcPr>
            <w:tcW w:w="5000" w:type="pct"/>
            <w:gridSpan w:val="4"/>
          </w:tcPr>
          <w:p w14:paraId="160EB267" w14:textId="77777777" w:rsidR="00474EA5" w:rsidRPr="00663F21" w:rsidRDefault="00474EA5" w:rsidP="00474EA5">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0" w:anchor="labsafety" w:history="1">
              <w:r>
                <w:rPr>
                  <w:rStyle w:val="Hyperlink"/>
                </w:rPr>
                <w:t>https://www.usf.edu/administrative-services/environmental-health-safety/training/course-descriptions.aspx#labsafety</w:t>
              </w:r>
            </w:hyperlink>
          </w:p>
          <w:p w14:paraId="4CDED1B0" w14:textId="7A0E68DD" w:rsidR="00474EA5" w:rsidRDefault="00474EA5" w:rsidP="00474EA5">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15D9D81B" w14:textId="77777777" w:rsidR="00474EA5" w:rsidRPr="00663F21" w:rsidRDefault="00474EA5" w:rsidP="00474EA5">
            <w:pPr>
              <w:spacing w:line="360" w:lineRule="auto"/>
            </w:pPr>
          </w:p>
          <w:p w14:paraId="1B1F3697" w14:textId="77777777" w:rsidR="00474EA5" w:rsidRPr="00663F21" w:rsidRDefault="002664A8" w:rsidP="00474EA5">
            <w:pPr>
              <w:spacing w:line="360" w:lineRule="auto"/>
            </w:pPr>
            <w:sdt>
              <w:sdtPr>
                <w:id w:val="262036319"/>
                <w14:checkbox>
                  <w14:checked w14:val="1"/>
                  <w14:checkedState w14:val="2612" w14:font="MS Gothic"/>
                  <w14:uncheckedState w14:val="2610" w14:font="MS Gothic"/>
                </w14:checkbox>
              </w:sdtPr>
              <w:sdtEndPr/>
              <w:sdtContent>
                <w:r w:rsidR="00474EA5">
                  <w:rPr>
                    <w:rFonts w:ascii="MS Gothic" w:eastAsia="MS Gothic" w:hAnsi="MS Gothic" w:hint="eastAsia"/>
                  </w:rPr>
                  <w:t>☒</w:t>
                </w:r>
              </w:sdtContent>
            </w:sdt>
            <w:r w:rsidR="00474EA5" w:rsidRPr="00663F21">
              <w:t>Research Specific Training from the PI/Lab Supervisor or their designee</w:t>
            </w:r>
          </w:p>
          <w:p w14:paraId="177DF6AE" w14:textId="77777777" w:rsidR="00474EA5" w:rsidRPr="00663F21" w:rsidRDefault="002664A8" w:rsidP="00474EA5">
            <w:pPr>
              <w:spacing w:line="360" w:lineRule="auto"/>
            </w:pPr>
            <w:sdt>
              <w:sdtPr>
                <w:id w:val="-1562709623"/>
                <w14:checkbox>
                  <w14:checked w14:val="1"/>
                  <w14:checkedState w14:val="2612" w14:font="MS Gothic"/>
                  <w14:uncheckedState w14:val="2610" w14:font="MS Gothic"/>
                </w14:checkbox>
              </w:sdtPr>
              <w:sdtEndPr/>
              <w:sdtContent>
                <w:r w:rsidR="00474EA5">
                  <w:rPr>
                    <w:rFonts w:ascii="MS Gothic" w:eastAsia="MS Gothic" w:hAnsi="MS Gothic" w:hint="eastAsia"/>
                  </w:rPr>
                  <w:t>☒</w:t>
                </w:r>
              </w:sdtContent>
            </w:sdt>
            <w:r w:rsidR="00474EA5" w:rsidRPr="00663F21">
              <w:t xml:space="preserve">EH&amp;S Laboratory Safety Training </w:t>
            </w:r>
          </w:p>
          <w:p w14:paraId="566D310C" w14:textId="77777777" w:rsidR="00474EA5" w:rsidRDefault="002664A8" w:rsidP="00474EA5">
            <w:pPr>
              <w:spacing w:line="360" w:lineRule="auto"/>
            </w:pPr>
            <w:sdt>
              <w:sdtPr>
                <w:id w:val="-2046906576"/>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 xml:space="preserve">EH&amp;S </w:t>
            </w:r>
            <w:r w:rsidR="00474EA5">
              <w:t>Hazard Communication</w:t>
            </w:r>
          </w:p>
          <w:p w14:paraId="35FF9046" w14:textId="77777777" w:rsidR="00474EA5" w:rsidRPr="00663F21" w:rsidRDefault="002664A8" w:rsidP="00474EA5">
            <w:pPr>
              <w:spacing w:line="360" w:lineRule="auto"/>
            </w:pPr>
            <w:sdt>
              <w:sdtPr>
                <w:id w:val="1948124478"/>
                <w14:checkbox>
                  <w14:checked w14:val="1"/>
                  <w14:checkedState w14:val="2612" w14:font="MS Gothic"/>
                  <w14:uncheckedState w14:val="2610" w14:font="MS Gothic"/>
                </w14:checkbox>
              </w:sdtPr>
              <w:sdtEndPr/>
              <w:sdtContent>
                <w:r w:rsidR="00474EA5">
                  <w:rPr>
                    <w:rFonts w:ascii="MS Gothic" w:eastAsia="MS Gothic" w:hAnsi="MS Gothic" w:cs="Segoe UI Symbol" w:hint="eastAsia"/>
                  </w:rPr>
                  <w:t>☒</w:t>
                </w:r>
              </w:sdtContent>
            </w:sdt>
            <w:r w:rsidR="00474EA5" w:rsidRPr="00663F21">
              <w:t xml:space="preserve">EH&amp;S </w:t>
            </w:r>
            <w:r w:rsidR="00474EA5">
              <w:t>Hazardous Waste Awareness and Handling</w:t>
            </w:r>
          </w:p>
          <w:p w14:paraId="284E8B06" w14:textId="77777777" w:rsidR="00474EA5" w:rsidRPr="00663F21" w:rsidRDefault="002664A8" w:rsidP="00474EA5">
            <w:pPr>
              <w:spacing w:line="360" w:lineRule="auto"/>
            </w:pPr>
            <w:sdt>
              <w:sdtPr>
                <w:id w:val="529543078"/>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EH&amp;S Respirator Fit Test</w:t>
            </w:r>
          </w:p>
          <w:p w14:paraId="6838247E" w14:textId="77777777" w:rsidR="00474EA5" w:rsidRPr="00663F21" w:rsidRDefault="002664A8" w:rsidP="00474EA5">
            <w:pPr>
              <w:spacing w:line="360" w:lineRule="auto"/>
            </w:pPr>
            <w:sdt>
              <w:sdtPr>
                <w:id w:val="1307277342"/>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EH&amp;S Biomedical Waste</w:t>
            </w:r>
          </w:p>
          <w:p w14:paraId="4CDCE245" w14:textId="77777777" w:rsidR="00474EA5" w:rsidRPr="00663F21" w:rsidRDefault="002664A8" w:rsidP="00474EA5">
            <w:pPr>
              <w:spacing w:line="360" w:lineRule="auto"/>
            </w:pPr>
            <w:sdt>
              <w:sdtPr>
                <w:id w:val="2130811032"/>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EH&amp;S Univer</w:t>
            </w:r>
            <w:r w:rsidR="00474EA5">
              <w:t>sal Pharmaceutical Waste Training</w:t>
            </w:r>
          </w:p>
          <w:p w14:paraId="50E14B81" w14:textId="5884CF37" w:rsidR="00474EA5" w:rsidRPr="00663F21" w:rsidRDefault="002664A8" w:rsidP="00474EA5">
            <w:pPr>
              <w:spacing w:line="360" w:lineRule="auto"/>
            </w:pPr>
            <w:sdt>
              <w:sdtPr>
                <w:id w:val="1460302469"/>
                <w14:checkbox>
                  <w14:checked w14:val="1"/>
                  <w14:checkedState w14:val="2612" w14:font="MS Gothic"/>
                  <w14:uncheckedState w14:val="2610" w14:font="MS Gothic"/>
                </w14:checkbox>
              </w:sdtPr>
              <w:sdtEndPr/>
              <w:sdtContent>
                <w:r w:rsidR="00474EA5">
                  <w:rPr>
                    <w:rFonts w:ascii="MS Gothic" w:eastAsia="MS Gothic" w:hAnsi="MS Gothic" w:hint="eastAsia"/>
                  </w:rPr>
                  <w:t>☒</w:t>
                </w:r>
              </w:sdtContent>
            </w:sdt>
            <w:r w:rsidR="00474EA5" w:rsidRPr="00663F21">
              <w:t>EH&amp;S Fire Prevention Safety</w:t>
            </w:r>
          </w:p>
          <w:p w14:paraId="6E1A76EA" w14:textId="77777777" w:rsidR="00474EA5" w:rsidRPr="00663F21" w:rsidRDefault="002664A8" w:rsidP="00474EA5">
            <w:pPr>
              <w:spacing w:line="360" w:lineRule="auto"/>
            </w:pPr>
            <w:sdt>
              <w:sdtPr>
                <w:id w:val="-1478217671"/>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EH&amp;S Slips, Trips, and Falls</w:t>
            </w:r>
          </w:p>
          <w:p w14:paraId="0850F429" w14:textId="77777777" w:rsidR="00474EA5" w:rsidRPr="00663F21" w:rsidRDefault="002664A8" w:rsidP="00474EA5">
            <w:pPr>
              <w:spacing w:line="360" w:lineRule="auto"/>
            </w:pPr>
            <w:sdt>
              <w:sdtPr>
                <w:id w:val="1222705050"/>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Biosafety Core Course</w:t>
            </w:r>
          </w:p>
          <w:p w14:paraId="24B373D5" w14:textId="77777777" w:rsidR="00474EA5" w:rsidRPr="00663F21" w:rsidRDefault="002664A8" w:rsidP="00474EA5">
            <w:pPr>
              <w:spacing w:line="360" w:lineRule="auto"/>
            </w:pPr>
            <w:sdt>
              <w:sdtPr>
                <w:id w:val="578494926"/>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Shipping Biohazardous Materials</w:t>
            </w:r>
          </w:p>
          <w:p w14:paraId="136F68EE" w14:textId="77777777" w:rsidR="00474EA5" w:rsidRPr="00663F21" w:rsidRDefault="002664A8" w:rsidP="00474EA5">
            <w:pPr>
              <w:spacing w:line="360" w:lineRule="auto"/>
            </w:pPr>
            <w:sdt>
              <w:sdtPr>
                <w:id w:val="951826380"/>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BSL 3</w:t>
            </w:r>
          </w:p>
          <w:p w14:paraId="34192EEE" w14:textId="77777777" w:rsidR="00474EA5" w:rsidRPr="00663F21" w:rsidRDefault="002664A8" w:rsidP="00474EA5">
            <w:pPr>
              <w:spacing w:line="360" w:lineRule="auto"/>
            </w:pPr>
            <w:sdt>
              <w:sdtPr>
                <w:id w:val="1775891231"/>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Radiation Safety</w:t>
            </w:r>
          </w:p>
          <w:p w14:paraId="452A2A57" w14:textId="77777777" w:rsidR="00474EA5" w:rsidRPr="00663F21" w:rsidRDefault="002664A8" w:rsidP="00474EA5">
            <w:pPr>
              <w:spacing w:line="360" w:lineRule="auto"/>
            </w:pPr>
            <w:sdt>
              <w:sdtPr>
                <w:id w:val="1408494111"/>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Laser Safety</w:t>
            </w:r>
          </w:p>
          <w:p w14:paraId="7DA72930" w14:textId="77777777" w:rsidR="00474EA5" w:rsidRPr="00663F21" w:rsidRDefault="002664A8" w:rsidP="00474EA5">
            <w:pPr>
              <w:spacing w:line="360" w:lineRule="auto"/>
            </w:pPr>
            <w:sdt>
              <w:sdtPr>
                <w:id w:val="145636312"/>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Boating Safety</w:t>
            </w:r>
          </w:p>
          <w:p w14:paraId="10E4119F" w14:textId="77777777" w:rsidR="00474EA5" w:rsidRPr="00663F21" w:rsidRDefault="002664A8" w:rsidP="00474EA5">
            <w:pPr>
              <w:spacing w:line="360" w:lineRule="auto"/>
            </w:pPr>
            <w:sdt>
              <w:sdtPr>
                <w:id w:val="343751798"/>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RIC Scientific Diving</w:t>
            </w:r>
          </w:p>
          <w:p w14:paraId="1884CBEB" w14:textId="77777777" w:rsidR="00474EA5" w:rsidRPr="00663F21" w:rsidRDefault="002664A8" w:rsidP="00474EA5">
            <w:pPr>
              <w:spacing w:line="360" w:lineRule="auto"/>
            </w:pPr>
            <w:sdt>
              <w:sdtPr>
                <w:id w:val="-761369240"/>
                <w14:checkbox>
                  <w14:checked w14:val="0"/>
                  <w14:checkedState w14:val="2612" w14:font="MS Gothic"/>
                  <w14:uncheckedState w14:val="2610" w14:font="MS Gothic"/>
                </w14:checkbox>
              </w:sdtPr>
              <w:sdtEndPr/>
              <w:sdtContent>
                <w:r w:rsidR="00474EA5" w:rsidRPr="00663F21">
                  <w:rPr>
                    <w:rFonts w:ascii="Segoe UI Symbol" w:hAnsi="Segoe UI Symbol" w:cs="Segoe UI Symbol"/>
                  </w:rPr>
                  <w:t>☐</w:t>
                </w:r>
              </w:sdtContent>
            </w:sdt>
            <w:r w:rsidR="00474EA5" w:rsidRPr="00663F21">
              <w:t>Other</w:t>
            </w:r>
            <w:sdt>
              <w:sdtPr>
                <w:id w:val="-1716417156"/>
                <w:text/>
              </w:sdtPr>
              <w:sdtEndPr/>
              <w:sdtContent>
                <w:r w:rsidR="00474EA5" w:rsidRPr="00663F21">
                  <w:t>:_________________________</w:t>
                </w:r>
              </w:sdtContent>
            </w:sdt>
          </w:p>
          <w:p w14:paraId="1299C43A" w14:textId="77777777" w:rsidR="00474EA5" w:rsidRPr="00663F21" w:rsidRDefault="00474EA5" w:rsidP="00474EA5">
            <w:pPr>
              <w:spacing w:line="360" w:lineRule="auto"/>
            </w:pPr>
          </w:p>
        </w:tc>
      </w:tr>
      <w:tr w:rsidR="00663F21" w:rsidRPr="00663F21" w14:paraId="4D90EEF8" w14:textId="77777777" w:rsidTr="00A405F3">
        <w:trPr>
          <w:trHeight w:val="360"/>
          <w:jc w:val="center"/>
        </w:trPr>
        <w:tc>
          <w:tcPr>
            <w:tcW w:w="5000" w:type="pct"/>
            <w:gridSpan w:val="4"/>
            <w:shd w:val="clear" w:color="auto" w:fill="EAF1DD"/>
            <w:vAlign w:val="center"/>
          </w:tcPr>
          <w:p w14:paraId="568848F4"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9EA4006" w14:textId="77777777" w:rsidTr="00A405F3">
        <w:trPr>
          <w:trHeight w:val="750"/>
          <w:jc w:val="center"/>
        </w:trPr>
        <w:tc>
          <w:tcPr>
            <w:tcW w:w="5000" w:type="pct"/>
            <w:gridSpan w:val="4"/>
          </w:tcPr>
          <w:p w14:paraId="5DD10965" w14:textId="77777777" w:rsidR="00663F21" w:rsidRPr="00663F21" w:rsidRDefault="002664A8"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2FB74846" w14:textId="77777777" w:rsidR="00663F21" w:rsidRPr="00663F21" w:rsidRDefault="002664A8"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ECA0971" w14:textId="0728720C" w:rsidR="00351860" w:rsidRDefault="00351860" w:rsidP="00351860">
      <w:pPr>
        <w:ind w:left="90"/>
        <w:rPr>
          <w:rFonts w:eastAsia="Times New Roman" w:cstheme="minorHAnsi"/>
          <w:szCs w:val="28"/>
        </w:rPr>
      </w:pPr>
      <w:r>
        <w:rPr>
          <w:rFonts w:eastAsia="Times New Roman" w:cstheme="minorHAnsi"/>
          <w:szCs w:val="28"/>
        </w:rPr>
        <w:t xml:space="preserve">By signing and dating here the Principal Investigator/ or a designee certifies that the Standard Operating Procedure (SOP) for </w:t>
      </w:r>
      <w:r w:rsidR="00102B6D" w:rsidRPr="00102B6D">
        <w:rPr>
          <w:rFonts w:eastAsia="Times New Roman" w:cstheme="minorHAnsi"/>
          <w:b/>
          <w:i/>
          <w:szCs w:val="28"/>
          <w:u w:val="single"/>
        </w:rPr>
        <w:t>Flammable Liquids</w:t>
      </w:r>
      <w:r>
        <w:rPr>
          <w:rFonts w:eastAsia="Times New Roman" w:cstheme="minorHAnsi"/>
          <w:szCs w:val="28"/>
        </w:rPr>
        <w:t xml:space="preserve"> is accurate and effectively provides safe standard operating procedures for employees and students in this lab who will handle this hazardous chemical.</w:t>
      </w:r>
    </w:p>
    <w:p w14:paraId="4DDBEF00" w14:textId="77777777" w:rsidR="00351860" w:rsidRDefault="00351860" w:rsidP="00351860">
      <w:pPr>
        <w:ind w:left="90"/>
        <w:rPr>
          <w:rFonts w:eastAsia="Times New Roman" w:cstheme="minorHAnsi"/>
          <w:szCs w:val="28"/>
        </w:rPr>
      </w:pPr>
    </w:p>
    <w:p w14:paraId="58D1ED86" w14:textId="77777777" w:rsidR="00351860" w:rsidRDefault="00351860" w:rsidP="00351860">
      <w:pPr>
        <w:ind w:left="90"/>
        <w:jc w:val="center"/>
        <w:rPr>
          <w:rFonts w:eastAsia="Times New Roman" w:cstheme="minorHAnsi"/>
          <w:szCs w:val="28"/>
        </w:rPr>
      </w:pPr>
      <w:r>
        <w:rPr>
          <w:rFonts w:eastAsia="Times New Roman" w:cstheme="minorHAnsi"/>
          <w:szCs w:val="28"/>
        </w:rPr>
        <w:t>_________________________________________________________________________</w:t>
      </w:r>
    </w:p>
    <w:p w14:paraId="282ABD14" w14:textId="5B884ECB" w:rsidR="00351860" w:rsidRDefault="00351860" w:rsidP="08449BA1">
      <w:pPr>
        <w:ind w:left="90"/>
        <w:jc w:val="center"/>
        <w:rPr>
          <w:rFonts w:eastAsia="Times New Roman"/>
        </w:rPr>
      </w:pPr>
      <w:r w:rsidRPr="08449BA1">
        <w:rPr>
          <w:rFonts w:eastAsia="Times New Roman"/>
        </w:rPr>
        <w:t xml:space="preserve">Signature </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r>
      <w:r w:rsidRPr="08449BA1">
        <w:rPr>
          <w:rFonts w:eastAsia="Times New Roman"/>
        </w:rPr>
        <w:t xml:space="preserve">Printed Name </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r>
      <w:r w:rsidRPr="08449BA1">
        <w:rPr>
          <w:rFonts w:eastAsia="Times New Roman"/>
        </w:rPr>
        <w:t>Date</w:t>
      </w:r>
    </w:p>
    <w:p w14:paraId="3461D779" w14:textId="77777777" w:rsidR="00351860" w:rsidRDefault="00351860" w:rsidP="00351860">
      <w:pPr>
        <w:rPr>
          <w:rFonts w:eastAsia="Times New Roman" w:cstheme="minorHAnsi"/>
          <w:szCs w:val="28"/>
        </w:rPr>
      </w:pPr>
    </w:p>
    <w:p w14:paraId="3519372B" w14:textId="5DB63DFB" w:rsidR="00351860" w:rsidRDefault="06C0A648" w:rsidP="06C0A648">
      <w:pPr>
        <w:rPr>
          <w:rFonts w:ascii="Times New Roman" w:eastAsia="Times New Roman" w:hAnsi="Times New Roman" w:cs="Arial"/>
        </w:rPr>
      </w:pPr>
      <w:r w:rsidRPr="06C0A648">
        <w:rPr>
          <w:rFonts w:eastAsia="Times New Roman"/>
        </w:rPr>
        <w:t>I affirm that I have read and understand the Standard Operating Procedure for</w:t>
      </w:r>
      <w:r w:rsidR="00102B6D">
        <w:rPr>
          <w:rFonts w:eastAsia="Times New Roman"/>
        </w:rPr>
        <w:t xml:space="preserve"> </w:t>
      </w:r>
      <w:r w:rsidRPr="00102B6D">
        <w:rPr>
          <w:rFonts w:eastAsia="Times New Roman"/>
          <w:b/>
          <w:i/>
          <w:iCs/>
          <w:u w:val="single"/>
        </w:rPr>
        <w:t>Flammable Liquids</w:t>
      </w:r>
      <w:r w:rsidR="00102B6D">
        <w:rPr>
          <w:rFonts w:eastAsia="Times New Roman"/>
        </w:rPr>
        <w:t xml:space="preserve"> a</w:t>
      </w:r>
      <w:r w:rsidRPr="06C0A648">
        <w:rPr>
          <w:rFonts w:eastAsia="Times New Roman"/>
        </w:rPr>
        <w:t>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51860" w14:paraId="288C5661"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hideMark/>
          </w:tcPr>
          <w:p w14:paraId="7A415086" w14:textId="77777777" w:rsidR="00351860" w:rsidRDefault="00351860">
            <w:pPr>
              <w:jc w:val="center"/>
              <w:rPr>
                <w:rFonts w:eastAsia="Times New Roman" w:cstheme="minorHAnsi"/>
                <w:szCs w:val="24"/>
              </w:rPr>
            </w:pPr>
            <w:r>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4CCB031D" w14:textId="77777777" w:rsidR="00351860" w:rsidRDefault="00351860">
            <w:pPr>
              <w:jc w:val="center"/>
              <w:rPr>
                <w:rFonts w:eastAsia="Times New Roman" w:cstheme="minorHAnsi"/>
                <w:szCs w:val="24"/>
              </w:rPr>
            </w:pPr>
            <w:r>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491072FA" w14:textId="77777777" w:rsidR="00351860" w:rsidRDefault="00351860">
            <w:pPr>
              <w:jc w:val="center"/>
              <w:rPr>
                <w:rFonts w:eastAsia="Times New Roman" w:cstheme="minorHAnsi"/>
                <w:szCs w:val="24"/>
              </w:rPr>
            </w:pPr>
            <w:r>
              <w:rPr>
                <w:rFonts w:eastAsia="Times New Roman" w:cstheme="minorHAnsi"/>
                <w:szCs w:val="24"/>
              </w:rPr>
              <w:t>Date</w:t>
            </w:r>
          </w:p>
        </w:tc>
      </w:tr>
      <w:tr w:rsidR="00351860" w14:paraId="3CF2D8B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FB78278"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FC39945"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62CB0E" w14:textId="77777777" w:rsidR="00351860" w:rsidRDefault="00351860">
            <w:pPr>
              <w:rPr>
                <w:rFonts w:ascii="Times New Roman" w:eastAsia="Times New Roman" w:hAnsi="Times New Roman" w:cs="Arial"/>
                <w:b/>
                <w:sz w:val="32"/>
                <w:szCs w:val="32"/>
              </w:rPr>
            </w:pPr>
          </w:p>
        </w:tc>
      </w:tr>
      <w:tr w:rsidR="00351860" w14:paraId="34CE0A41"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2EBF3C5"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98A12B"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946DB82" w14:textId="77777777" w:rsidR="00351860" w:rsidRDefault="00351860">
            <w:pPr>
              <w:rPr>
                <w:rFonts w:ascii="Times New Roman" w:eastAsia="Times New Roman" w:hAnsi="Times New Roman" w:cs="Arial"/>
                <w:b/>
                <w:sz w:val="32"/>
                <w:szCs w:val="32"/>
              </w:rPr>
            </w:pPr>
          </w:p>
        </w:tc>
      </w:tr>
      <w:tr w:rsidR="00351860" w14:paraId="5997CC1D"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10FFD37"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B699379"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FE9F23F" w14:textId="77777777" w:rsidR="00351860" w:rsidRDefault="00351860">
            <w:pPr>
              <w:rPr>
                <w:rFonts w:ascii="Times New Roman" w:eastAsia="Times New Roman" w:hAnsi="Times New Roman" w:cs="Arial"/>
                <w:b/>
                <w:sz w:val="32"/>
                <w:szCs w:val="32"/>
              </w:rPr>
            </w:pPr>
          </w:p>
        </w:tc>
      </w:tr>
      <w:tr w:rsidR="00351860" w14:paraId="1F72F64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8CE6F91"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1CDCEAD"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BB9E253" w14:textId="77777777" w:rsidR="00351860" w:rsidRDefault="00351860">
            <w:pPr>
              <w:rPr>
                <w:rFonts w:ascii="Times New Roman" w:eastAsia="Times New Roman" w:hAnsi="Times New Roman" w:cs="Arial"/>
                <w:b/>
                <w:sz w:val="32"/>
                <w:szCs w:val="32"/>
              </w:rPr>
            </w:pPr>
          </w:p>
        </w:tc>
      </w:tr>
      <w:tr w:rsidR="00351860" w14:paraId="23DE523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2E56223"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7547A01"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43CB0F" w14:textId="77777777" w:rsidR="00351860" w:rsidRDefault="00351860">
            <w:pPr>
              <w:rPr>
                <w:rFonts w:ascii="Times New Roman" w:eastAsia="Times New Roman" w:hAnsi="Times New Roman" w:cs="Arial"/>
                <w:b/>
                <w:sz w:val="32"/>
                <w:szCs w:val="32"/>
              </w:rPr>
            </w:pPr>
          </w:p>
        </w:tc>
      </w:tr>
      <w:tr w:rsidR="00351860" w14:paraId="07459315"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537F28F"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DFB9E20"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DF9E56" w14:textId="77777777" w:rsidR="00351860" w:rsidRDefault="00351860">
            <w:pPr>
              <w:rPr>
                <w:rFonts w:ascii="Times New Roman" w:eastAsia="Times New Roman" w:hAnsi="Times New Roman" w:cs="Arial"/>
                <w:b/>
                <w:sz w:val="32"/>
                <w:szCs w:val="32"/>
              </w:rPr>
            </w:pPr>
          </w:p>
        </w:tc>
      </w:tr>
      <w:tr w:rsidR="00351860" w14:paraId="44E871B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4A5D23"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8610EB"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37805D2" w14:textId="77777777" w:rsidR="00351860" w:rsidRDefault="00351860">
            <w:pPr>
              <w:rPr>
                <w:rFonts w:ascii="Times New Roman" w:eastAsia="Times New Roman" w:hAnsi="Times New Roman" w:cs="Arial"/>
                <w:b/>
                <w:sz w:val="32"/>
                <w:szCs w:val="32"/>
              </w:rPr>
            </w:pPr>
          </w:p>
        </w:tc>
      </w:tr>
      <w:tr w:rsidR="00351860" w14:paraId="463F29E8"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B7B4B86"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A0FF5F2"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30AD66" w14:textId="77777777" w:rsidR="00351860" w:rsidRDefault="00351860">
            <w:pPr>
              <w:rPr>
                <w:rFonts w:ascii="Times New Roman" w:eastAsia="Times New Roman" w:hAnsi="Times New Roman" w:cs="Arial"/>
                <w:b/>
                <w:sz w:val="32"/>
                <w:szCs w:val="32"/>
              </w:rPr>
            </w:pPr>
          </w:p>
        </w:tc>
      </w:tr>
      <w:tr w:rsidR="00351860" w14:paraId="6182907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BA226A1"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AD93B2"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DE4B5B7" w14:textId="77777777" w:rsidR="00351860" w:rsidRDefault="00351860">
            <w:pPr>
              <w:rPr>
                <w:rFonts w:ascii="Times New Roman" w:eastAsia="Times New Roman" w:hAnsi="Times New Roman" w:cs="Arial"/>
                <w:b/>
                <w:sz w:val="32"/>
                <w:szCs w:val="32"/>
              </w:rPr>
            </w:pPr>
          </w:p>
        </w:tc>
      </w:tr>
      <w:tr w:rsidR="00351860" w14:paraId="66204FF1"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DBF0D7D"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B62F1B3"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F2C34E" w14:textId="77777777" w:rsidR="00351860" w:rsidRDefault="00351860">
            <w:pPr>
              <w:rPr>
                <w:rFonts w:ascii="Times New Roman" w:eastAsia="Times New Roman" w:hAnsi="Times New Roman" w:cs="Arial"/>
                <w:b/>
                <w:sz w:val="32"/>
                <w:szCs w:val="32"/>
              </w:rPr>
            </w:pPr>
          </w:p>
        </w:tc>
      </w:tr>
      <w:tr w:rsidR="00351860" w14:paraId="680A4E5D"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9219836"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96FEF7D"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194DBDC" w14:textId="77777777" w:rsidR="00351860" w:rsidRDefault="00351860">
            <w:pPr>
              <w:rPr>
                <w:rFonts w:ascii="Times New Roman" w:eastAsia="Times New Roman" w:hAnsi="Times New Roman" w:cs="Arial"/>
                <w:b/>
                <w:sz w:val="32"/>
                <w:szCs w:val="32"/>
              </w:rPr>
            </w:pPr>
          </w:p>
        </w:tc>
      </w:tr>
      <w:tr w:rsidR="00351860" w14:paraId="769D0D3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54CD245A"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231BE67"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6FEB5B0" w14:textId="77777777" w:rsidR="00351860" w:rsidRDefault="00351860">
            <w:pPr>
              <w:rPr>
                <w:rFonts w:ascii="Times New Roman" w:eastAsia="Times New Roman" w:hAnsi="Times New Roman" w:cs="Arial"/>
                <w:b/>
                <w:sz w:val="32"/>
                <w:szCs w:val="32"/>
              </w:rPr>
            </w:pPr>
          </w:p>
        </w:tc>
      </w:tr>
      <w:tr w:rsidR="00351860" w14:paraId="30D7AA69"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7196D064"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34FF1C98"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072C0D" w14:textId="77777777" w:rsidR="00351860" w:rsidRDefault="00351860">
            <w:pPr>
              <w:rPr>
                <w:rFonts w:ascii="Times New Roman" w:eastAsia="Times New Roman" w:hAnsi="Times New Roman" w:cs="Arial"/>
                <w:b/>
                <w:sz w:val="32"/>
                <w:szCs w:val="32"/>
              </w:rPr>
            </w:pPr>
          </w:p>
        </w:tc>
      </w:tr>
      <w:tr w:rsidR="00351860" w14:paraId="48A21919"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6BD18F9B"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38601FE"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F3CABC7" w14:textId="77777777" w:rsidR="00351860" w:rsidRDefault="00351860">
            <w:pPr>
              <w:rPr>
                <w:rFonts w:ascii="Times New Roman" w:eastAsia="Times New Roman" w:hAnsi="Times New Roman" w:cs="Arial"/>
                <w:b/>
                <w:sz w:val="32"/>
                <w:szCs w:val="32"/>
              </w:rPr>
            </w:pPr>
          </w:p>
        </w:tc>
      </w:tr>
    </w:tbl>
    <w:p w14:paraId="5B08B5D1" w14:textId="77777777" w:rsidR="00351860" w:rsidRDefault="00351860" w:rsidP="00351860">
      <w:pPr>
        <w:spacing w:after="0" w:line="360" w:lineRule="auto"/>
      </w:pPr>
    </w:p>
    <w:p w14:paraId="16DEB4AB" w14:textId="77777777" w:rsidR="00351860" w:rsidRDefault="00351860" w:rsidP="00351860">
      <w:pPr>
        <w:spacing w:after="0" w:line="360" w:lineRule="auto"/>
      </w:pPr>
    </w:p>
    <w:p w14:paraId="0AD9C6F4" w14:textId="77777777" w:rsidR="00CE1F09" w:rsidRDefault="002664A8" w:rsidP="00663F21">
      <w:pPr>
        <w:spacing w:after="0" w:line="360" w:lineRule="auto"/>
      </w:pPr>
    </w:p>
    <w:sectPr w:rsidR="00CE1F09" w:rsidSect="00B03960">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42D11" w14:textId="77777777" w:rsidR="002664A8" w:rsidRDefault="002664A8" w:rsidP="00CD0F74">
      <w:pPr>
        <w:spacing w:after="0" w:line="240" w:lineRule="auto"/>
      </w:pPr>
      <w:r>
        <w:separator/>
      </w:r>
    </w:p>
  </w:endnote>
  <w:endnote w:type="continuationSeparator" w:id="0">
    <w:p w14:paraId="4BD81ED4" w14:textId="77777777" w:rsidR="002664A8" w:rsidRDefault="002664A8"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CC3E" w14:textId="77777777" w:rsidR="004546DA" w:rsidRDefault="004546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59BCA" w14:textId="0EB6AD38" w:rsidR="00CD0F74" w:rsidRDefault="004039B2">
    <w:pPr>
      <w:pStyle w:val="Footer"/>
    </w:pPr>
    <w:r>
      <w:t xml:space="preserve">Last revised </w:t>
    </w:r>
    <w:r w:rsidR="00102B6D">
      <w:t>4</w:t>
    </w:r>
    <w:r w:rsidR="004546DA">
      <w:t>/12/2022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B34CF" w14:textId="77777777" w:rsidR="004546DA" w:rsidRDefault="0045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D686A" w14:textId="77777777" w:rsidR="002664A8" w:rsidRDefault="002664A8" w:rsidP="00CD0F74">
      <w:pPr>
        <w:spacing w:after="0" w:line="240" w:lineRule="auto"/>
      </w:pPr>
      <w:r>
        <w:separator/>
      </w:r>
    </w:p>
  </w:footnote>
  <w:footnote w:type="continuationSeparator" w:id="0">
    <w:p w14:paraId="3F57B98C" w14:textId="77777777" w:rsidR="002664A8" w:rsidRDefault="002664A8" w:rsidP="00CD0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3078" w14:textId="77777777" w:rsidR="004546DA" w:rsidRDefault="00454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99A2" w14:textId="77777777" w:rsidR="004546DA" w:rsidRDefault="00454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B61D9" w14:textId="77777777" w:rsidR="004546DA" w:rsidRDefault="0045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5E1F1E"/>
    <w:multiLevelType w:val="hybridMultilevel"/>
    <w:tmpl w:val="18DC28CA"/>
    <w:lvl w:ilvl="0" w:tplc="5AC6B41C">
      <w:start w:val="1"/>
      <w:numFmt w:val="bullet"/>
      <w:lvlText w:val=""/>
      <w:lvlJc w:val="left"/>
      <w:pPr>
        <w:ind w:left="720" w:hanging="360"/>
      </w:pPr>
      <w:rPr>
        <w:rFonts w:ascii="Wingdings" w:hAnsi="Wingdings" w:hint="default"/>
      </w:rPr>
    </w:lvl>
    <w:lvl w:ilvl="1" w:tplc="46ACA7C6">
      <w:start w:val="1"/>
      <w:numFmt w:val="bullet"/>
      <w:lvlText w:val="o"/>
      <w:lvlJc w:val="left"/>
      <w:pPr>
        <w:ind w:left="1440" w:hanging="360"/>
      </w:pPr>
      <w:rPr>
        <w:rFonts w:ascii="Courier New" w:hAnsi="Courier New" w:hint="default"/>
      </w:rPr>
    </w:lvl>
    <w:lvl w:ilvl="2" w:tplc="DEF03EB0">
      <w:start w:val="1"/>
      <w:numFmt w:val="bullet"/>
      <w:lvlText w:val=""/>
      <w:lvlJc w:val="left"/>
      <w:pPr>
        <w:ind w:left="2160" w:hanging="360"/>
      </w:pPr>
      <w:rPr>
        <w:rFonts w:ascii="Wingdings" w:hAnsi="Wingdings" w:hint="default"/>
      </w:rPr>
    </w:lvl>
    <w:lvl w:ilvl="3" w:tplc="4AFC0F5E">
      <w:start w:val="1"/>
      <w:numFmt w:val="bullet"/>
      <w:lvlText w:val=""/>
      <w:lvlJc w:val="left"/>
      <w:pPr>
        <w:ind w:left="2880" w:hanging="360"/>
      </w:pPr>
      <w:rPr>
        <w:rFonts w:ascii="Symbol" w:hAnsi="Symbol" w:hint="default"/>
      </w:rPr>
    </w:lvl>
    <w:lvl w:ilvl="4" w:tplc="E146B44C">
      <w:start w:val="1"/>
      <w:numFmt w:val="bullet"/>
      <w:lvlText w:val="o"/>
      <w:lvlJc w:val="left"/>
      <w:pPr>
        <w:ind w:left="3600" w:hanging="360"/>
      </w:pPr>
      <w:rPr>
        <w:rFonts w:ascii="Courier New" w:hAnsi="Courier New" w:hint="default"/>
      </w:rPr>
    </w:lvl>
    <w:lvl w:ilvl="5" w:tplc="7AA8200E">
      <w:start w:val="1"/>
      <w:numFmt w:val="bullet"/>
      <w:lvlText w:val=""/>
      <w:lvlJc w:val="left"/>
      <w:pPr>
        <w:ind w:left="4320" w:hanging="360"/>
      </w:pPr>
      <w:rPr>
        <w:rFonts w:ascii="Wingdings" w:hAnsi="Wingdings" w:hint="default"/>
      </w:rPr>
    </w:lvl>
    <w:lvl w:ilvl="6" w:tplc="0B2617C4">
      <w:start w:val="1"/>
      <w:numFmt w:val="bullet"/>
      <w:lvlText w:val=""/>
      <w:lvlJc w:val="left"/>
      <w:pPr>
        <w:ind w:left="5040" w:hanging="360"/>
      </w:pPr>
      <w:rPr>
        <w:rFonts w:ascii="Symbol" w:hAnsi="Symbol" w:hint="default"/>
      </w:rPr>
    </w:lvl>
    <w:lvl w:ilvl="7" w:tplc="3760E1CA">
      <w:start w:val="1"/>
      <w:numFmt w:val="bullet"/>
      <w:lvlText w:val="o"/>
      <w:lvlJc w:val="left"/>
      <w:pPr>
        <w:ind w:left="5760" w:hanging="360"/>
      </w:pPr>
      <w:rPr>
        <w:rFonts w:ascii="Courier New" w:hAnsi="Courier New" w:hint="default"/>
      </w:rPr>
    </w:lvl>
    <w:lvl w:ilvl="8" w:tplc="83E44E7A">
      <w:start w:val="1"/>
      <w:numFmt w:val="bullet"/>
      <w:lvlText w:val=""/>
      <w:lvlJc w:val="left"/>
      <w:pPr>
        <w:ind w:left="6480" w:hanging="360"/>
      </w:pPr>
      <w:rPr>
        <w:rFonts w:ascii="Wingdings" w:hAnsi="Wingdings" w:hint="default"/>
      </w:rPr>
    </w:lvl>
  </w:abstractNum>
  <w:abstractNum w:abstractNumId="4" w15:restartNumberingAfterBreak="0">
    <w:nsid w:val="7D9C2D3D"/>
    <w:multiLevelType w:val="multilevel"/>
    <w:tmpl w:val="78FE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4F31"/>
    <w:rsid w:val="00021DD5"/>
    <w:rsid w:val="000327A6"/>
    <w:rsid w:val="00065FF0"/>
    <w:rsid w:val="000A63C1"/>
    <w:rsid w:val="000B4048"/>
    <w:rsid w:val="00102B6D"/>
    <w:rsid w:val="001067B1"/>
    <w:rsid w:val="00112DDA"/>
    <w:rsid w:val="00202B9D"/>
    <w:rsid w:val="002664A8"/>
    <w:rsid w:val="002D1CDF"/>
    <w:rsid w:val="002E7E28"/>
    <w:rsid w:val="00351860"/>
    <w:rsid w:val="00386CCE"/>
    <w:rsid w:val="003E2D26"/>
    <w:rsid w:val="004021A6"/>
    <w:rsid w:val="004039B2"/>
    <w:rsid w:val="00432761"/>
    <w:rsid w:val="004429E6"/>
    <w:rsid w:val="004546DA"/>
    <w:rsid w:val="00456245"/>
    <w:rsid w:val="00474EA5"/>
    <w:rsid w:val="00481335"/>
    <w:rsid w:val="004D0435"/>
    <w:rsid w:val="004F73B9"/>
    <w:rsid w:val="0050596F"/>
    <w:rsid w:val="00506A86"/>
    <w:rsid w:val="005247FB"/>
    <w:rsid w:val="0054332F"/>
    <w:rsid w:val="0057644C"/>
    <w:rsid w:val="00586B6A"/>
    <w:rsid w:val="005F3053"/>
    <w:rsid w:val="006451BD"/>
    <w:rsid w:val="006564BE"/>
    <w:rsid w:val="00663F21"/>
    <w:rsid w:val="006F1B6F"/>
    <w:rsid w:val="006F5F45"/>
    <w:rsid w:val="007A125C"/>
    <w:rsid w:val="007D5660"/>
    <w:rsid w:val="007F3A41"/>
    <w:rsid w:val="0082617D"/>
    <w:rsid w:val="008441D1"/>
    <w:rsid w:val="00864FA4"/>
    <w:rsid w:val="008C0C39"/>
    <w:rsid w:val="009349E8"/>
    <w:rsid w:val="009374F7"/>
    <w:rsid w:val="00984CE9"/>
    <w:rsid w:val="009A7947"/>
    <w:rsid w:val="009C0B02"/>
    <w:rsid w:val="00A405F3"/>
    <w:rsid w:val="00A469DB"/>
    <w:rsid w:val="00B03960"/>
    <w:rsid w:val="00B41E21"/>
    <w:rsid w:val="00B52B2E"/>
    <w:rsid w:val="00B52CD2"/>
    <w:rsid w:val="00B64F5D"/>
    <w:rsid w:val="00B72017"/>
    <w:rsid w:val="00BF1DED"/>
    <w:rsid w:val="00C3611F"/>
    <w:rsid w:val="00C6399F"/>
    <w:rsid w:val="00C80A46"/>
    <w:rsid w:val="00CD0F74"/>
    <w:rsid w:val="00CF4757"/>
    <w:rsid w:val="00CF4D44"/>
    <w:rsid w:val="00D20602"/>
    <w:rsid w:val="00D20975"/>
    <w:rsid w:val="00D44C47"/>
    <w:rsid w:val="00D756B7"/>
    <w:rsid w:val="00DE7047"/>
    <w:rsid w:val="00E56AAF"/>
    <w:rsid w:val="00EC0CA0"/>
    <w:rsid w:val="00ED79CE"/>
    <w:rsid w:val="00F17358"/>
    <w:rsid w:val="00F649C9"/>
    <w:rsid w:val="00F93016"/>
    <w:rsid w:val="06C0A648"/>
    <w:rsid w:val="08449BA1"/>
    <w:rsid w:val="1B7F5AD4"/>
    <w:rsid w:val="2D3BBFAF"/>
    <w:rsid w:val="382ABD72"/>
    <w:rsid w:val="475CF493"/>
    <w:rsid w:val="49A1E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752DA"/>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4021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823">
      <w:bodyDiv w:val="1"/>
      <w:marLeft w:val="0"/>
      <w:marRight w:val="0"/>
      <w:marTop w:val="0"/>
      <w:marBottom w:val="0"/>
      <w:divBdr>
        <w:top w:val="none" w:sz="0" w:space="0" w:color="auto"/>
        <w:left w:val="none" w:sz="0" w:space="0" w:color="auto"/>
        <w:bottom w:val="none" w:sz="0" w:space="0" w:color="auto"/>
        <w:right w:val="none" w:sz="0" w:space="0" w:color="auto"/>
      </w:divBdr>
    </w:div>
    <w:div w:id="402531607">
      <w:bodyDiv w:val="1"/>
      <w:marLeft w:val="0"/>
      <w:marRight w:val="0"/>
      <w:marTop w:val="0"/>
      <w:marBottom w:val="0"/>
      <w:divBdr>
        <w:top w:val="none" w:sz="0" w:space="0" w:color="auto"/>
        <w:left w:val="none" w:sz="0" w:space="0" w:color="auto"/>
        <w:bottom w:val="none" w:sz="0" w:space="0" w:color="auto"/>
        <w:right w:val="none" w:sz="0" w:space="0" w:color="auto"/>
      </w:divBdr>
      <w:divsChild>
        <w:div w:id="271596156">
          <w:marLeft w:val="0"/>
          <w:marRight w:val="0"/>
          <w:marTop w:val="0"/>
          <w:marBottom w:val="0"/>
          <w:divBdr>
            <w:top w:val="none" w:sz="0" w:space="0" w:color="auto"/>
            <w:left w:val="none" w:sz="0" w:space="0" w:color="auto"/>
            <w:bottom w:val="none" w:sz="0" w:space="0" w:color="auto"/>
            <w:right w:val="none" w:sz="0" w:space="0" w:color="auto"/>
          </w:divBdr>
        </w:div>
        <w:div w:id="1339115689">
          <w:marLeft w:val="0"/>
          <w:marRight w:val="0"/>
          <w:marTop w:val="0"/>
          <w:marBottom w:val="0"/>
          <w:divBdr>
            <w:top w:val="none" w:sz="0" w:space="0" w:color="auto"/>
            <w:left w:val="none" w:sz="0" w:space="0" w:color="auto"/>
            <w:bottom w:val="none" w:sz="0" w:space="0" w:color="auto"/>
            <w:right w:val="none" w:sz="0" w:space="0" w:color="auto"/>
          </w:divBdr>
        </w:div>
      </w:divsChild>
    </w:div>
    <w:div w:id="602616782">
      <w:bodyDiv w:val="1"/>
      <w:marLeft w:val="0"/>
      <w:marRight w:val="0"/>
      <w:marTop w:val="0"/>
      <w:marBottom w:val="0"/>
      <w:divBdr>
        <w:top w:val="none" w:sz="0" w:space="0" w:color="auto"/>
        <w:left w:val="none" w:sz="0" w:space="0" w:color="auto"/>
        <w:bottom w:val="none" w:sz="0" w:space="0" w:color="auto"/>
        <w:right w:val="none" w:sz="0" w:space="0" w:color="auto"/>
      </w:divBdr>
    </w:div>
    <w:div w:id="808598920">
      <w:bodyDiv w:val="1"/>
      <w:marLeft w:val="0"/>
      <w:marRight w:val="0"/>
      <w:marTop w:val="0"/>
      <w:marBottom w:val="0"/>
      <w:divBdr>
        <w:top w:val="none" w:sz="0" w:space="0" w:color="auto"/>
        <w:left w:val="none" w:sz="0" w:space="0" w:color="auto"/>
        <w:bottom w:val="none" w:sz="0" w:space="0" w:color="auto"/>
        <w:right w:val="none" w:sz="0" w:space="0" w:color="auto"/>
      </w:divBdr>
    </w:div>
    <w:div w:id="821428666">
      <w:bodyDiv w:val="1"/>
      <w:marLeft w:val="0"/>
      <w:marRight w:val="0"/>
      <w:marTop w:val="0"/>
      <w:marBottom w:val="0"/>
      <w:divBdr>
        <w:top w:val="none" w:sz="0" w:space="0" w:color="auto"/>
        <w:left w:val="none" w:sz="0" w:space="0" w:color="auto"/>
        <w:bottom w:val="none" w:sz="0" w:space="0" w:color="auto"/>
        <w:right w:val="none" w:sz="0" w:space="0" w:color="auto"/>
      </w:divBdr>
    </w:div>
    <w:div w:id="880286534">
      <w:bodyDiv w:val="1"/>
      <w:marLeft w:val="0"/>
      <w:marRight w:val="0"/>
      <w:marTop w:val="0"/>
      <w:marBottom w:val="0"/>
      <w:divBdr>
        <w:top w:val="none" w:sz="0" w:space="0" w:color="auto"/>
        <w:left w:val="none" w:sz="0" w:space="0" w:color="auto"/>
        <w:bottom w:val="none" w:sz="0" w:space="0" w:color="auto"/>
        <w:right w:val="none" w:sz="0" w:space="0" w:color="auto"/>
      </w:divBdr>
    </w:div>
    <w:div w:id="994996844">
      <w:bodyDiv w:val="1"/>
      <w:marLeft w:val="0"/>
      <w:marRight w:val="0"/>
      <w:marTop w:val="0"/>
      <w:marBottom w:val="0"/>
      <w:divBdr>
        <w:top w:val="none" w:sz="0" w:space="0" w:color="auto"/>
        <w:left w:val="none" w:sz="0" w:space="0" w:color="auto"/>
        <w:bottom w:val="none" w:sz="0" w:space="0" w:color="auto"/>
        <w:right w:val="none" w:sz="0" w:space="0" w:color="auto"/>
      </w:divBdr>
    </w:div>
    <w:div w:id="1024860880">
      <w:bodyDiv w:val="1"/>
      <w:marLeft w:val="0"/>
      <w:marRight w:val="0"/>
      <w:marTop w:val="0"/>
      <w:marBottom w:val="0"/>
      <w:divBdr>
        <w:top w:val="none" w:sz="0" w:space="0" w:color="auto"/>
        <w:left w:val="none" w:sz="0" w:space="0" w:color="auto"/>
        <w:bottom w:val="none" w:sz="0" w:space="0" w:color="auto"/>
        <w:right w:val="none" w:sz="0" w:space="0" w:color="auto"/>
      </w:divBdr>
    </w:div>
    <w:div w:id="1829398641">
      <w:bodyDiv w:val="1"/>
      <w:marLeft w:val="0"/>
      <w:marRight w:val="0"/>
      <w:marTop w:val="0"/>
      <w:marBottom w:val="0"/>
      <w:divBdr>
        <w:top w:val="none" w:sz="0" w:space="0" w:color="auto"/>
        <w:left w:val="none" w:sz="0" w:space="0" w:color="auto"/>
        <w:bottom w:val="none" w:sz="0" w:space="0" w:color="auto"/>
        <w:right w:val="none" w:sz="0" w:space="0" w:color="auto"/>
      </w:divBdr>
    </w:div>
    <w:div w:id="201598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reporting/injury-illness-reporting.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s://www.usf.edu/administrative-services/environmental-health-safety/documents/hazwaste-managementprocedur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1553</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5</cp:revision>
  <cp:lastPrinted>2019-06-12T17:22:00Z</cp:lastPrinted>
  <dcterms:created xsi:type="dcterms:W3CDTF">2022-04-12T17:32:00Z</dcterms:created>
  <dcterms:modified xsi:type="dcterms:W3CDTF">2022-07-20T12:26:00Z</dcterms:modified>
</cp:coreProperties>
</file>